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1F" w:rsidRPr="00C86F39" w:rsidRDefault="0057751F" w:rsidP="0057751F">
      <w:pPr>
        <w:spacing w:line="500" w:lineRule="exact"/>
        <w:ind w:left="400"/>
        <w:jc w:val="center"/>
        <w:rPr>
          <w:rFonts w:ascii="標楷體" w:eastAsia="標楷體" w:hAnsi="標楷體"/>
          <w:b/>
          <w:sz w:val="36"/>
          <w:szCs w:val="36"/>
        </w:rPr>
      </w:pPr>
      <w:r>
        <w:rPr>
          <w:rFonts w:ascii="標楷體" w:eastAsia="標楷體" w:hAnsi="標楷體" w:hint="eastAsia"/>
          <w:b/>
          <w:sz w:val="36"/>
          <w:szCs w:val="36"/>
        </w:rPr>
        <w:t>國立雲林科技大學</w:t>
      </w:r>
    </w:p>
    <w:p w:rsidR="0057751F" w:rsidRPr="00C86F39" w:rsidRDefault="0057751F" w:rsidP="0057751F">
      <w:pPr>
        <w:adjustRightInd w:val="0"/>
        <w:spacing w:line="500" w:lineRule="exact"/>
        <w:jc w:val="center"/>
        <w:rPr>
          <w:rFonts w:ascii="標楷體" w:eastAsia="標楷體" w:hAnsi="標楷體"/>
          <w:b/>
          <w:sz w:val="36"/>
          <w:szCs w:val="36"/>
        </w:rPr>
      </w:pPr>
      <w:r>
        <w:rPr>
          <w:rFonts w:ascii="標楷體" w:eastAsia="標楷體" w:hAnsi="標楷體" w:hint="eastAsia"/>
          <w:b/>
          <w:sz w:val="36"/>
          <w:szCs w:val="36"/>
        </w:rPr>
        <w:t>104</w:t>
      </w:r>
      <w:r w:rsidRPr="00C86F39">
        <w:rPr>
          <w:rFonts w:ascii="標楷體" w:eastAsia="標楷體" w:hAnsi="標楷體" w:hint="eastAsia"/>
          <w:b/>
          <w:sz w:val="36"/>
          <w:szCs w:val="36"/>
        </w:rPr>
        <w:t>年內部控制具體興革建議追蹤情形表</w:t>
      </w:r>
    </w:p>
    <w:tbl>
      <w:tblPr>
        <w:tblpPr w:leftFromText="180" w:rightFromText="180" w:vertAnchor="text" w:horzAnchor="margin" w:tblpXSpec="center" w:tblpY="31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92"/>
        <w:gridCol w:w="3319"/>
        <w:gridCol w:w="2820"/>
      </w:tblGrid>
      <w:tr w:rsidR="0057751F" w:rsidRPr="00C86F39" w:rsidTr="00A9414A">
        <w:trPr>
          <w:trHeight w:val="562"/>
        </w:trPr>
        <w:tc>
          <w:tcPr>
            <w:tcW w:w="817" w:type="dxa"/>
          </w:tcPr>
          <w:p w:rsidR="0057751F" w:rsidRPr="00C86F39" w:rsidRDefault="0057751F" w:rsidP="00A9414A">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項次</w:t>
            </w:r>
          </w:p>
        </w:tc>
        <w:tc>
          <w:tcPr>
            <w:tcW w:w="2692" w:type="dxa"/>
          </w:tcPr>
          <w:p w:rsidR="0057751F" w:rsidRPr="00C86F39" w:rsidRDefault="0057751F" w:rsidP="00A9414A">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具體興革建議</w:t>
            </w:r>
          </w:p>
        </w:tc>
        <w:tc>
          <w:tcPr>
            <w:tcW w:w="3319" w:type="dxa"/>
          </w:tcPr>
          <w:p w:rsidR="0057751F" w:rsidRPr="00C86F39" w:rsidRDefault="0057751F" w:rsidP="00A9414A">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辦理情形</w:t>
            </w:r>
          </w:p>
        </w:tc>
        <w:tc>
          <w:tcPr>
            <w:tcW w:w="2820" w:type="dxa"/>
          </w:tcPr>
          <w:p w:rsidR="0057751F" w:rsidRPr="00C86F39" w:rsidRDefault="0057751F" w:rsidP="00A9414A">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追蹤結果</w:t>
            </w:r>
          </w:p>
        </w:tc>
      </w:tr>
      <w:tr w:rsidR="0057751F" w:rsidRPr="00C86F39" w:rsidTr="00A9414A">
        <w:trPr>
          <w:trHeight w:val="454"/>
        </w:trPr>
        <w:tc>
          <w:tcPr>
            <w:tcW w:w="9648" w:type="dxa"/>
            <w:gridSpan w:val="4"/>
          </w:tcPr>
          <w:p w:rsidR="0057751F" w:rsidRPr="00C86F39" w:rsidRDefault="0057751F" w:rsidP="00A9414A">
            <w:pPr>
              <w:spacing w:line="500" w:lineRule="exact"/>
              <w:rPr>
                <w:rFonts w:ascii="標楷體" w:eastAsia="標楷體" w:hAnsi="標楷體"/>
                <w:sz w:val="28"/>
                <w:szCs w:val="28"/>
              </w:rPr>
            </w:pPr>
            <w:r w:rsidRPr="00C86F39">
              <w:rPr>
                <w:rFonts w:ascii="標楷體" w:eastAsia="標楷體" w:hAnsi="標楷體" w:hint="eastAsia"/>
                <w:sz w:val="28"/>
                <w:szCs w:val="28"/>
              </w:rPr>
              <w:t>一、本次新增之建議</w:t>
            </w:r>
          </w:p>
        </w:tc>
      </w:tr>
      <w:tr w:rsidR="0057751F" w:rsidRPr="00C86F39" w:rsidTr="00A9414A">
        <w:trPr>
          <w:trHeight w:val="454"/>
        </w:trPr>
        <w:tc>
          <w:tcPr>
            <w:tcW w:w="9648" w:type="dxa"/>
            <w:gridSpan w:val="4"/>
          </w:tcPr>
          <w:p w:rsidR="0057751F" w:rsidRPr="00C86F39" w:rsidRDefault="0057751F" w:rsidP="00A9414A">
            <w:pPr>
              <w:spacing w:line="380" w:lineRule="exact"/>
              <w:jc w:val="both"/>
              <w:rPr>
                <w:rFonts w:ascii="標楷體" w:eastAsia="標楷體" w:hAnsi="標楷體"/>
                <w:sz w:val="28"/>
                <w:szCs w:val="28"/>
              </w:rPr>
            </w:pPr>
            <w:r w:rsidRPr="00C86F39">
              <w:rPr>
                <w:rFonts w:ascii="標楷體" w:eastAsia="標楷體" w:hAnsi="標楷體" w:hint="eastAsia"/>
                <w:sz w:val="28"/>
                <w:szCs w:val="28"/>
              </w:rPr>
              <w:t>自行評估結果所列建議</w:t>
            </w:r>
          </w:p>
        </w:tc>
      </w:tr>
      <w:tr w:rsidR="0057751F" w:rsidRPr="00C86F39" w:rsidTr="00A9414A">
        <w:trPr>
          <w:trHeight w:val="851"/>
        </w:trPr>
        <w:tc>
          <w:tcPr>
            <w:tcW w:w="817" w:type="dxa"/>
          </w:tcPr>
          <w:p w:rsidR="0057751F" w:rsidRPr="00C86F39" w:rsidRDefault="00B57029" w:rsidP="00A9414A">
            <w:pPr>
              <w:spacing w:line="400" w:lineRule="exact"/>
              <w:jc w:val="center"/>
              <w:rPr>
                <w:rFonts w:ascii="標楷體" w:eastAsia="標楷體" w:hAnsi="標楷體"/>
              </w:rPr>
            </w:pPr>
            <w:r>
              <w:rPr>
                <w:rFonts w:ascii="標楷體" w:eastAsia="標楷體" w:hAnsi="標楷體" w:hint="eastAsia"/>
              </w:rPr>
              <w:t>無</w:t>
            </w:r>
          </w:p>
        </w:tc>
        <w:tc>
          <w:tcPr>
            <w:tcW w:w="2692" w:type="dxa"/>
          </w:tcPr>
          <w:p w:rsidR="0057751F" w:rsidRPr="00C86F39" w:rsidRDefault="0057751F" w:rsidP="00A9414A">
            <w:pPr>
              <w:spacing w:line="400" w:lineRule="exact"/>
              <w:rPr>
                <w:rFonts w:ascii="標楷體" w:eastAsia="標楷體" w:hAnsi="標楷體"/>
              </w:rPr>
            </w:pPr>
          </w:p>
        </w:tc>
        <w:tc>
          <w:tcPr>
            <w:tcW w:w="3319" w:type="dxa"/>
          </w:tcPr>
          <w:p w:rsidR="0057751F" w:rsidRPr="00C86F39" w:rsidRDefault="0057751F" w:rsidP="00A9414A">
            <w:pPr>
              <w:spacing w:line="400" w:lineRule="exact"/>
              <w:jc w:val="both"/>
              <w:rPr>
                <w:rFonts w:ascii="標楷體" w:eastAsia="標楷體" w:hAnsi="標楷體"/>
              </w:rPr>
            </w:pPr>
          </w:p>
        </w:tc>
        <w:tc>
          <w:tcPr>
            <w:tcW w:w="2820" w:type="dxa"/>
          </w:tcPr>
          <w:p w:rsidR="0057751F" w:rsidRPr="00C86F39" w:rsidRDefault="0057751F" w:rsidP="00A9414A">
            <w:pPr>
              <w:spacing w:line="400" w:lineRule="exact"/>
              <w:jc w:val="both"/>
              <w:rPr>
                <w:rFonts w:ascii="標楷體" w:eastAsia="標楷體" w:hAnsi="標楷體"/>
              </w:rPr>
            </w:pPr>
          </w:p>
        </w:tc>
      </w:tr>
      <w:tr w:rsidR="0057751F" w:rsidRPr="00C86F39" w:rsidTr="00A9414A">
        <w:trPr>
          <w:trHeight w:val="454"/>
        </w:trPr>
        <w:tc>
          <w:tcPr>
            <w:tcW w:w="9648" w:type="dxa"/>
            <w:gridSpan w:val="4"/>
          </w:tcPr>
          <w:p w:rsidR="0057751F" w:rsidRPr="00C86F39" w:rsidRDefault="0057751F" w:rsidP="00A9414A">
            <w:pPr>
              <w:spacing w:line="380" w:lineRule="exact"/>
              <w:jc w:val="both"/>
              <w:rPr>
                <w:rFonts w:ascii="標楷體" w:eastAsia="標楷體" w:hAnsi="標楷體"/>
              </w:rPr>
            </w:pPr>
            <w:r w:rsidRPr="00C86F39">
              <w:rPr>
                <w:rFonts w:ascii="標楷體" w:eastAsia="標楷體" w:hAnsi="標楷體" w:hint="eastAsia"/>
                <w:sz w:val="28"/>
                <w:szCs w:val="28"/>
              </w:rPr>
              <w:t>內部稽核報告所列建議</w:t>
            </w:r>
          </w:p>
        </w:tc>
      </w:tr>
      <w:tr w:rsidR="0057751F" w:rsidRPr="00C86F39" w:rsidTr="00A9414A">
        <w:trPr>
          <w:trHeight w:val="2972"/>
        </w:trPr>
        <w:tc>
          <w:tcPr>
            <w:tcW w:w="817" w:type="dxa"/>
          </w:tcPr>
          <w:p w:rsidR="0057751F" w:rsidRPr="00C86F39" w:rsidRDefault="0057751F" w:rsidP="00A9414A">
            <w:pPr>
              <w:spacing w:line="400" w:lineRule="exact"/>
              <w:jc w:val="center"/>
              <w:rPr>
                <w:rFonts w:ascii="標楷體" w:eastAsia="標楷體" w:hAnsi="標楷體"/>
              </w:rPr>
            </w:pPr>
            <w:r w:rsidRPr="00C86F39">
              <w:rPr>
                <w:rFonts w:ascii="標楷體" w:eastAsia="標楷體" w:hAnsi="標楷體"/>
              </w:rPr>
              <w:t>1</w:t>
            </w:r>
          </w:p>
        </w:tc>
        <w:tc>
          <w:tcPr>
            <w:tcW w:w="2692" w:type="dxa"/>
          </w:tcPr>
          <w:p w:rsidR="0057751F" w:rsidRDefault="009D5EB8" w:rsidP="00A9414A">
            <w:pPr>
              <w:spacing w:line="400" w:lineRule="exact"/>
              <w:jc w:val="both"/>
              <w:rPr>
                <w:rFonts w:ascii="標楷體" w:eastAsia="標楷體" w:hAnsi="標楷體"/>
                <w:sz w:val="28"/>
                <w:szCs w:val="28"/>
              </w:rPr>
            </w:pPr>
            <w:r w:rsidRPr="008E6F7A">
              <w:rPr>
                <w:rFonts w:ascii="標楷體" w:eastAsia="標楷體" w:hAnsi="標楷體"/>
                <w:sz w:val="28"/>
                <w:szCs w:val="28"/>
              </w:rPr>
              <w:t>相對於國外學生在雲科所接受的特別待遇，包括特別製作的學程，雲科交換生在國外生活學習的情形，國際處可以更積極了解。</w:t>
            </w:r>
          </w:p>
          <w:p w:rsidR="009D5EB8" w:rsidRPr="009D5EB8" w:rsidRDefault="009D5EB8" w:rsidP="009D5EB8">
            <w:pPr>
              <w:spacing w:line="400" w:lineRule="exact"/>
              <w:jc w:val="both"/>
              <w:rPr>
                <w:rFonts w:ascii="Calibri" w:hAnsi="Calibri"/>
                <w:szCs w:val="22"/>
              </w:rPr>
            </w:pPr>
            <w:r w:rsidRPr="009D5EB8">
              <w:rPr>
                <w:rFonts w:ascii="標楷體" w:eastAsia="標楷體" w:hAnsi="標楷體"/>
                <w:sz w:val="28"/>
                <w:szCs w:val="28"/>
              </w:rPr>
              <w:t>提升學生對國際事物，跨文化溝通、生命財產安全、國際禮儀的了解。</w:t>
            </w:r>
            <w:r>
              <w:rPr>
                <w:rFonts w:ascii="標楷體" w:eastAsia="標楷體" w:hAnsi="標楷體" w:hint="eastAsia"/>
                <w:sz w:val="28"/>
                <w:szCs w:val="28"/>
              </w:rPr>
              <w:t>(國際</w:t>
            </w:r>
            <w:r w:rsidRPr="008E6F7A">
              <w:rPr>
                <w:rFonts w:ascii="標楷體" w:eastAsia="標楷體" w:hAnsi="標楷體"/>
                <w:sz w:val="28"/>
                <w:szCs w:val="28"/>
              </w:rPr>
              <w:t>交換學生申請作業</w:t>
            </w:r>
            <w:r>
              <w:rPr>
                <w:rFonts w:ascii="標楷體" w:eastAsia="標楷體" w:hAnsi="標楷體" w:hint="eastAsia"/>
                <w:sz w:val="28"/>
                <w:szCs w:val="28"/>
              </w:rPr>
              <w:t>)</w:t>
            </w:r>
          </w:p>
          <w:p w:rsidR="009D5EB8" w:rsidRPr="009D5EB8" w:rsidRDefault="009D5EB8" w:rsidP="00A9414A">
            <w:pPr>
              <w:spacing w:line="400" w:lineRule="exact"/>
              <w:jc w:val="both"/>
              <w:rPr>
                <w:rFonts w:ascii="標楷體" w:eastAsia="標楷體" w:hAnsi="標楷體"/>
              </w:rPr>
            </w:pPr>
          </w:p>
        </w:tc>
        <w:tc>
          <w:tcPr>
            <w:tcW w:w="3319" w:type="dxa"/>
          </w:tcPr>
          <w:p w:rsidR="0057751F" w:rsidRPr="00FE0C80" w:rsidRDefault="0057751F" w:rsidP="00A9414A">
            <w:pPr>
              <w:spacing w:line="400" w:lineRule="exact"/>
              <w:jc w:val="both"/>
              <w:rPr>
                <w:rFonts w:ascii="標楷體" w:eastAsia="標楷體" w:hAnsi="標楷體"/>
              </w:rPr>
            </w:pPr>
          </w:p>
        </w:tc>
        <w:tc>
          <w:tcPr>
            <w:tcW w:w="2820" w:type="dxa"/>
          </w:tcPr>
          <w:p w:rsidR="0057751F" w:rsidRPr="00C86F39" w:rsidRDefault="0057751F" w:rsidP="00A9414A">
            <w:pPr>
              <w:spacing w:line="400" w:lineRule="exact"/>
              <w:jc w:val="both"/>
              <w:rPr>
                <w:rFonts w:ascii="標楷體" w:eastAsia="標楷體" w:hAnsi="標楷體"/>
              </w:rPr>
            </w:pPr>
          </w:p>
        </w:tc>
      </w:tr>
      <w:tr w:rsidR="0057751F" w:rsidRPr="00C86F39" w:rsidTr="00F35B6F">
        <w:trPr>
          <w:trHeight w:val="699"/>
        </w:trPr>
        <w:tc>
          <w:tcPr>
            <w:tcW w:w="817" w:type="dxa"/>
          </w:tcPr>
          <w:p w:rsidR="0057751F" w:rsidRPr="00C86F39" w:rsidRDefault="0057751F" w:rsidP="00A9414A">
            <w:pPr>
              <w:spacing w:line="500" w:lineRule="exact"/>
              <w:jc w:val="center"/>
              <w:rPr>
                <w:rFonts w:ascii="標楷體" w:eastAsia="標楷體" w:hAnsi="標楷體"/>
                <w:sz w:val="28"/>
                <w:szCs w:val="28"/>
              </w:rPr>
            </w:pPr>
            <w:r w:rsidRPr="00C86F39">
              <w:rPr>
                <w:rFonts w:ascii="標楷體" w:eastAsia="標楷體" w:hAnsi="標楷體"/>
                <w:sz w:val="28"/>
                <w:szCs w:val="28"/>
              </w:rPr>
              <w:t>2</w:t>
            </w:r>
          </w:p>
        </w:tc>
        <w:tc>
          <w:tcPr>
            <w:tcW w:w="2692" w:type="dxa"/>
          </w:tcPr>
          <w:p w:rsidR="0057751F" w:rsidRPr="00C86F39" w:rsidRDefault="00F35B6F" w:rsidP="00A9414A">
            <w:pPr>
              <w:spacing w:line="500" w:lineRule="exact"/>
              <w:rPr>
                <w:rFonts w:ascii="標楷體" w:eastAsia="標楷體" w:hAnsi="標楷體"/>
                <w:sz w:val="28"/>
                <w:szCs w:val="28"/>
              </w:rPr>
            </w:pPr>
            <w:r w:rsidRPr="008E6F7A">
              <w:rPr>
                <w:rFonts w:ascii="標楷體" w:eastAsia="標楷體" w:hAnsi="標楷體"/>
                <w:sz w:val="28"/>
                <w:szCs w:val="28"/>
              </w:rPr>
              <w:t>建議整理合約簽訂或倫理審查容易疏忽或違法的部分，以實例方式分享，讓老師們更</w:t>
            </w:r>
            <w:proofErr w:type="gramStart"/>
            <w:r w:rsidRPr="008E6F7A">
              <w:rPr>
                <w:rFonts w:ascii="標楷體" w:eastAsia="標楷體" w:hAnsi="標楷體"/>
                <w:sz w:val="28"/>
                <w:szCs w:val="28"/>
              </w:rPr>
              <w:t>清楚嚴重性</w:t>
            </w:r>
            <w:proofErr w:type="gramEnd"/>
            <w:r w:rsidRPr="008E6F7A">
              <w:rPr>
                <w:rFonts w:ascii="標楷體" w:eastAsia="標楷體" w:hAnsi="標楷體"/>
                <w:sz w:val="28"/>
                <w:szCs w:val="28"/>
              </w:rPr>
              <w:t>。研發處雖然已善</w:t>
            </w:r>
            <w:proofErr w:type="gramStart"/>
            <w:r w:rsidRPr="008E6F7A">
              <w:rPr>
                <w:rFonts w:ascii="標楷體" w:eastAsia="標楷體" w:hAnsi="標楷體"/>
                <w:sz w:val="28"/>
                <w:szCs w:val="28"/>
              </w:rPr>
              <w:t>儘</w:t>
            </w:r>
            <w:proofErr w:type="gramEnd"/>
            <w:r w:rsidRPr="008E6F7A">
              <w:rPr>
                <w:rFonts w:ascii="標楷體" w:eastAsia="標楷體" w:hAnsi="標楷體"/>
                <w:sz w:val="28"/>
                <w:szCs w:val="28"/>
              </w:rPr>
              <w:t>告知責任，但是可以更積極評估告知的成效。</w:t>
            </w:r>
            <w:r>
              <w:rPr>
                <w:rFonts w:ascii="標楷體" w:eastAsia="標楷體" w:hAnsi="標楷體" w:hint="eastAsia"/>
                <w:sz w:val="28"/>
                <w:szCs w:val="28"/>
              </w:rPr>
              <w:t>(</w:t>
            </w:r>
            <w:r w:rsidR="003F3874">
              <w:rPr>
                <w:rFonts w:ascii="標楷體" w:eastAsia="標楷體" w:hAnsi="標楷體" w:hint="eastAsia"/>
                <w:sz w:val="28"/>
                <w:szCs w:val="28"/>
              </w:rPr>
              <w:t>研發處-</w:t>
            </w:r>
            <w:r w:rsidRPr="008E6F7A">
              <w:rPr>
                <w:rFonts w:ascii="標楷體" w:eastAsia="標楷體" w:hAnsi="標楷體"/>
                <w:sz w:val="28"/>
                <w:szCs w:val="28"/>
              </w:rPr>
              <w:t>產</w:t>
            </w:r>
            <w:r w:rsidRPr="008E6F7A">
              <w:rPr>
                <w:rFonts w:ascii="標楷體" w:eastAsia="標楷體" w:hAnsi="標楷體"/>
                <w:sz w:val="28"/>
                <w:szCs w:val="28"/>
              </w:rPr>
              <w:lastRenderedPageBreak/>
              <w:t>學合作申請作業</w:t>
            </w:r>
            <w:r>
              <w:rPr>
                <w:rFonts w:ascii="標楷體" w:eastAsia="標楷體" w:hAnsi="標楷體" w:hint="eastAsia"/>
                <w:sz w:val="28"/>
                <w:szCs w:val="28"/>
              </w:rPr>
              <w:t>)</w:t>
            </w:r>
          </w:p>
        </w:tc>
        <w:tc>
          <w:tcPr>
            <w:tcW w:w="3319" w:type="dxa"/>
          </w:tcPr>
          <w:p w:rsidR="0057751F" w:rsidRPr="00C86F39" w:rsidRDefault="0057751F" w:rsidP="00A9414A">
            <w:pPr>
              <w:spacing w:line="500" w:lineRule="exact"/>
              <w:jc w:val="both"/>
              <w:rPr>
                <w:rFonts w:ascii="標楷體" w:eastAsia="標楷體" w:hAnsi="標楷體"/>
                <w:sz w:val="28"/>
                <w:szCs w:val="28"/>
              </w:rPr>
            </w:pPr>
          </w:p>
        </w:tc>
        <w:tc>
          <w:tcPr>
            <w:tcW w:w="2820" w:type="dxa"/>
          </w:tcPr>
          <w:p w:rsidR="0057751F" w:rsidRPr="00C86F39" w:rsidRDefault="0057751F" w:rsidP="00A9414A">
            <w:pPr>
              <w:spacing w:line="500" w:lineRule="exact"/>
              <w:jc w:val="both"/>
              <w:rPr>
                <w:rFonts w:ascii="標楷體" w:eastAsia="標楷體" w:hAnsi="標楷體"/>
                <w:sz w:val="28"/>
                <w:szCs w:val="28"/>
              </w:rPr>
            </w:pPr>
          </w:p>
        </w:tc>
      </w:tr>
      <w:tr w:rsidR="00A30684" w:rsidRPr="00C86F39" w:rsidTr="00A9414A">
        <w:trPr>
          <w:trHeight w:val="851"/>
        </w:trPr>
        <w:tc>
          <w:tcPr>
            <w:tcW w:w="817" w:type="dxa"/>
          </w:tcPr>
          <w:p w:rsidR="00A30684" w:rsidRPr="00C86F39" w:rsidRDefault="00F35B6F" w:rsidP="00A9414A">
            <w:pPr>
              <w:spacing w:line="500" w:lineRule="exact"/>
              <w:jc w:val="center"/>
              <w:rPr>
                <w:rFonts w:ascii="標楷體" w:eastAsia="標楷體" w:hAnsi="標楷體"/>
                <w:sz w:val="28"/>
                <w:szCs w:val="28"/>
              </w:rPr>
            </w:pPr>
            <w:r>
              <w:rPr>
                <w:rFonts w:ascii="標楷體" w:eastAsia="標楷體" w:hAnsi="標楷體" w:hint="eastAsia"/>
                <w:sz w:val="28"/>
                <w:szCs w:val="28"/>
              </w:rPr>
              <w:lastRenderedPageBreak/>
              <w:t>3</w:t>
            </w:r>
          </w:p>
        </w:tc>
        <w:tc>
          <w:tcPr>
            <w:tcW w:w="2692" w:type="dxa"/>
          </w:tcPr>
          <w:p w:rsidR="00A30684" w:rsidRPr="00C86F39" w:rsidRDefault="00F35B6F" w:rsidP="00A9414A">
            <w:pPr>
              <w:spacing w:line="500" w:lineRule="exact"/>
              <w:rPr>
                <w:rFonts w:ascii="標楷體" w:eastAsia="標楷體" w:hAnsi="標楷體"/>
                <w:sz w:val="28"/>
                <w:szCs w:val="28"/>
              </w:rPr>
            </w:pPr>
            <w:r w:rsidRPr="008E6F7A">
              <w:rPr>
                <w:rFonts w:ascii="標楷體" w:eastAsia="標楷體" w:hAnsi="標楷體" w:hint="eastAsia"/>
                <w:sz w:val="28"/>
                <w:szCs w:val="28"/>
              </w:rPr>
              <w:t>請</w:t>
            </w:r>
            <w:r>
              <w:rPr>
                <w:rFonts w:ascii="標楷體" w:eastAsia="標楷體" w:hAnsi="標楷體" w:hint="eastAsia"/>
                <w:sz w:val="28"/>
                <w:szCs w:val="28"/>
              </w:rPr>
              <w:t>將控制重點納入流程，</w:t>
            </w:r>
            <w:r w:rsidRPr="008E6F7A">
              <w:rPr>
                <w:rFonts w:ascii="標楷體" w:eastAsia="標楷體" w:hAnsi="標楷體" w:hint="eastAsia"/>
                <w:sz w:val="28"/>
                <w:szCs w:val="28"/>
              </w:rPr>
              <w:t>重新修正車輛管理流程，納入內部控制手冊第四版。</w:t>
            </w:r>
            <w:r>
              <w:rPr>
                <w:rFonts w:ascii="標楷體" w:eastAsia="標楷體" w:hAnsi="標楷體" w:hint="eastAsia"/>
                <w:sz w:val="28"/>
                <w:szCs w:val="28"/>
              </w:rPr>
              <w:t>(</w:t>
            </w:r>
            <w:r w:rsidRPr="008E6F7A">
              <w:rPr>
                <w:rFonts w:ascii="標楷體" w:eastAsia="標楷體" w:hAnsi="標楷體" w:hint="eastAsia"/>
                <w:sz w:val="28"/>
                <w:szCs w:val="28"/>
              </w:rPr>
              <w:t>總務處-車輛管理</w:t>
            </w:r>
            <w:r>
              <w:rPr>
                <w:rFonts w:ascii="標楷體" w:eastAsia="標楷體" w:hAnsi="標楷體" w:hint="eastAsia"/>
                <w:sz w:val="28"/>
                <w:szCs w:val="28"/>
              </w:rPr>
              <w:t>)</w:t>
            </w:r>
          </w:p>
        </w:tc>
        <w:tc>
          <w:tcPr>
            <w:tcW w:w="3319" w:type="dxa"/>
          </w:tcPr>
          <w:p w:rsidR="00A30684" w:rsidRPr="00C86F39" w:rsidRDefault="00A30684" w:rsidP="00A9414A">
            <w:pPr>
              <w:spacing w:line="500" w:lineRule="exact"/>
              <w:jc w:val="both"/>
              <w:rPr>
                <w:rFonts w:ascii="標楷體" w:eastAsia="標楷體" w:hAnsi="標楷體"/>
                <w:sz w:val="28"/>
                <w:szCs w:val="28"/>
              </w:rPr>
            </w:pPr>
          </w:p>
        </w:tc>
        <w:tc>
          <w:tcPr>
            <w:tcW w:w="2820" w:type="dxa"/>
          </w:tcPr>
          <w:p w:rsidR="00A30684" w:rsidRPr="00C86F39" w:rsidRDefault="00A30684" w:rsidP="00A9414A">
            <w:pPr>
              <w:spacing w:line="500" w:lineRule="exact"/>
              <w:jc w:val="both"/>
              <w:rPr>
                <w:rFonts w:ascii="標楷體" w:eastAsia="標楷體" w:hAnsi="標楷體"/>
                <w:sz w:val="28"/>
                <w:szCs w:val="28"/>
              </w:rPr>
            </w:pPr>
          </w:p>
        </w:tc>
      </w:tr>
      <w:tr w:rsidR="00A30684" w:rsidRPr="00C86F39" w:rsidTr="00A9414A">
        <w:trPr>
          <w:trHeight w:val="851"/>
        </w:trPr>
        <w:tc>
          <w:tcPr>
            <w:tcW w:w="817" w:type="dxa"/>
          </w:tcPr>
          <w:p w:rsidR="00A30684" w:rsidRPr="00C86F39" w:rsidRDefault="00F35B6F" w:rsidP="00A9414A">
            <w:pPr>
              <w:spacing w:line="500" w:lineRule="exact"/>
              <w:jc w:val="center"/>
              <w:rPr>
                <w:rFonts w:ascii="標楷體" w:eastAsia="標楷體" w:hAnsi="標楷體"/>
                <w:sz w:val="28"/>
                <w:szCs w:val="28"/>
              </w:rPr>
            </w:pPr>
            <w:r>
              <w:rPr>
                <w:rFonts w:ascii="標楷體" w:eastAsia="標楷體" w:hAnsi="標楷體" w:hint="eastAsia"/>
                <w:sz w:val="28"/>
                <w:szCs w:val="28"/>
              </w:rPr>
              <w:t>4</w:t>
            </w:r>
          </w:p>
        </w:tc>
        <w:tc>
          <w:tcPr>
            <w:tcW w:w="2692" w:type="dxa"/>
          </w:tcPr>
          <w:p w:rsidR="00A30684" w:rsidRPr="00C86F39" w:rsidRDefault="00F35B6F" w:rsidP="00F63167">
            <w:pPr>
              <w:spacing w:line="500" w:lineRule="exact"/>
              <w:rPr>
                <w:rFonts w:ascii="標楷體" w:eastAsia="標楷體" w:hAnsi="標楷體"/>
                <w:sz w:val="28"/>
                <w:szCs w:val="28"/>
              </w:rPr>
            </w:pPr>
            <w:r w:rsidRPr="008E6F7A">
              <w:rPr>
                <w:rFonts w:ascii="標楷體" w:eastAsia="標楷體" w:hAnsi="標楷體" w:hint="eastAsia"/>
                <w:sz w:val="28"/>
                <w:szCs w:val="28"/>
              </w:rPr>
              <w:t>請將境外人士各項</w:t>
            </w:r>
            <w:proofErr w:type="gramStart"/>
            <w:r w:rsidRPr="008E6F7A">
              <w:rPr>
                <w:rFonts w:ascii="標楷體" w:eastAsia="標楷體" w:hAnsi="標楷體" w:hint="eastAsia"/>
                <w:sz w:val="28"/>
                <w:szCs w:val="28"/>
              </w:rPr>
              <w:t>稅費款之</w:t>
            </w:r>
            <w:proofErr w:type="gramEnd"/>
            <w:r w:rsidRPr="008E6F7A">
              <w:rPr>
                <w:rFonts w:ascii="標楷體" w:eastAsia="標楷體" w:hAnsi="標楷體" w:hint="eastAsia"/>
                <w:sz w:val="28"/>
                <w:szCs w:val="28"/>
              </w:rPr>
              <w:t>扣繳</w:t>
            </w:r>
            <w:proofErr w:type="gramStart"/>
            <w:r w:rsidRPr="008E6F7A">
              <w:rPr>
                <w:rFonts w:ascii="標楷體" w:eastAsia="標楷體" w:hAnsi="標楷體" w:hint="eastAsia"/>
                <w:sz w:val="28"/>
                <w:szCs w:val="28"/>
              </w:rPr>
              <w:t>作業作業</w:t>
            </w:r>
            <w:proofErr w:type="gramEnd"/>
            <w:r w:rsidRPr="008E6F7A">
              <w:rPr>
                <w:rFonts w:ascii="標楷體" w:eastAsia="標楷體" w:hAnsi="標楷體" w:hint="eastAsia"/>
                <w:sz w:val="28"/>
                <w:szCs w:val="28"/>
              </w:rPr>
              <w:t>程序，納入內部控制手冊第四版辦理修正。</w:t>
            </w:r>
            <w:r w:rsidR="00F63167">
              <w:rPr>
                <w:rFonts w:ascii="標楷體" w:eastAsia="標楷體" w:hAnsi="標楷體" w:hint="eastAsia"/>
                <w:sz w:val="28"/>
                <w:szCs w:val="28"/>
              </w:rPr>
              <w:t>(</w:t>
            </w:r>
            <w:r w:rsidR="00F63167" w:rsidRPr="008E6F7A">
              <w:rPr>
                <w:rFonts w:ascii="標楷體" w:eastAsia="標楷體" w:hAnsi="標楷體" w:hint="eastAsia"/>
                <w:sz w:val="28"/>
                <w:szCs w:val="28"/>
              </w:rPr>
              <w:t>總務處-出納管理-各項</w:t>
            </w:r>
            <w:proofErr w:type="gramStart"/>
            <w:r w:rsidR="00F63167" w:rsidRPr="008E6F7A">
              <w:rPr>
                <w:rFonts w:ascii="標楷體" w:eastAsia="標楷體" w:hAnsi="標楷體" w:hint="eastAsia"/>
                <w:sz w:val="28"/>
                <w:szCs w:val="28"/>
              </w:rPr>
              <w:t>稅費款之</w:t>
            </w:r>
            <w:proofErr w:type="gramEnd"/>
            <w:r w:rsidR="00F63167" w:rsidRPr="008E6F7A">
              <w:rPr>
                <w:rFonts w:ascii="標楷體" w:eastAsia="標楷體" w:hAnsi="標楷體" w:hint="eastAsia"/>
                <w:sz w:val="28"/>
                <w:szCs w:val="28"/>
              </w:rPr>
              <w:t>扣繳作業</w:t>
            </w:r>
            <w:r w:rsidR="00F63167">
              <w:rPr>
                <w:rFonts w:ascii="標楷體" w:eastAsia="標楷體" w:hAnsi="標楷體" w:hint="eastAsia"/>
                <w:sz w:val="28"/>
                <w:szCs w:val="28"/>
              </w:rPr>
              <w:t>)</w:t>
            </w:r>
          </w:p>
        </w:tc>
        <w:tc>
          <w:tcPr>
            <w:tcW w:w="3319" w:type="dxa"/>
          </w:tcPr>
          <w:p w:rsidR="00A30684" w:rsidRPr="00C86F39" w:rsidRDefault="00A30684" w:rsidP="00A9414A">
            <w:pPr>
              <w:spacing w:line="500" w:lineRule="exact"/>
              <w:jc w:val="both"/>
              <w:rPr>
                <w:rFonts w:ascii="標楷體" w:eastAsia="標楷體" w:hAnsi="標楷體"/>
                <w:sz w:val="28"/>
                <w:szCs w:val="28"/>
              </w:rPr>
            </w:pPr>
          </w:p>
        </w:tc>
        <w:tc>
          <w:tcPr>
            <w:tcW w:w="2820" w:type="dxa"/>
          </w:tcPr>
          <w:p w:rsidR="00A30684" w:rsidRPr="00C86F39" w:rsidRDefault="00A30684" w:rsidP="00A9414A">
            <w:pPr>
              <w:spacing w:line="500" w:lineRule="exact"/>
              <w:jc w:val="both"/>
              <w:rPr>
                <w:rFonts w:ascii="標楷體" w:eastAsia="標楷體" w:hAnsi="標楷體"/>
                <w:sz w:val="28"/>
                <w:szCs w:val="28"/>
              </w:rPr>
            </w:pPr>
          </w:p>
        </w:tc>
      </w:tr>
      <w:tr w:rsidR="00A30684" w:rsidRPr="00C86F39" w:rsidTr="00A9414A">
        <w:trPr>
          <w:trHeight w:val="851"/>
        </w:trPr>
        <w:tc>
          <w:tcPr>
            <w:tcW w:w="817" w:type="dxa"/>
          </w:tcPr>
          <w:p w:rsidR="00A30684" w:rsidRPr="00C86F39" w:rsidRDefault="00F63167" w:rsidP="00A9414A">
            <w:pPr>
              <w:spacing w:line="500" w:lineRule="exact"/>
              <w:jc w:val="center"/>
              <w:rPr>
                <w:rFonts w:ascii="標楷體" w:eastAsia="標楷體" w:hAnsi="標楷體"/>
                <w:sz w:val="28"/>
                <w:szCs w:val="28"/>
              </w:rPr>
            </w:pPr>
            <w:r>
              <w:rPr>
                <w:rFonts w:ascii="標楷體" w:eastAsia="標楷體" w:hAnsi="標楷體" w:hint="eastAsia"/>
                <w:sz w:val="28"/>
                <w:szCs w:val="28"/>
              </w:rPr>
              <w:t>5</w:t>
            </w:r>
          </w:p>
        </w:tc>
        <w:tc>
          <w:tcPr>
            <w:tcW w:w="2692" w:type="dxa"/>
          </w:tcPr>
          <w:p w:rsidR="00A30684" w:rsidRPr="00C86F39" w:rsidRDefault="00372AB2" w:rsidP="00A9414A">
            <w:pPr>
              <w:spacing w:line="500" w:lineRule="exact"/>
              <w:rPr>
                <w:rFonts w:ascii="標楷體" w:eastAsia="標楷體" w:hAnsi="標楷體"/>
                <w:sz w:val="28"/>
                <w:szCs w:val="28"/>
              </w:rPr>
            </w:pPr>
            <w:r w:rsidRPr="008E6F7A">
              <w:rPr>
                <w:rFonts w:ascii="標楷體" w:eastAsia="標楷體" w:hAnsi="標楷體" w:hint="eastAsia"/>
                <w:sz w:val="28"/>
                <w:szCs w:val="28"/>
              </w:rPr>
              <w:t>請</w:t>
            </w:r>
            <w:r>
              <w:rPr>
                <w:rFonts w:ascii="標楷體" w:eastAsia="標楷體" w:hAnsi="標楷體" w:hint="eastAsia"/>
                <w:sz w:val="28"/>
                <w:szCs w:val="28"/>
              </w:rPr>
              <w:t>將控制重點納入流程，</w:t>
            </w:r>
            <w:r w:rsidRPr="008E6F7A">
              <w:rPr>
                <w:rFonts w:ascii="標楷體" w:eastAsia="標楷體" w:hAnsi="標楷體" w:hint="eastAsia"/>
                <w:sz w:val="28"/>
                <w:szCs w:val="28"/>
              </w:rPr>
              <w:t>重新修正職務宿舍管理流程，納入內部控制手冊第四版。</w:t>
            </w:r>
            <w:r>
              <w:rPr>
                <w:rFonts w:ascii="標楷體" w:eastAsia="標楷體" w:hAnsi="標楷體" w:hint="eastAsia"/>
                <w:sz w:val="28"/>
                <w:szCs w:val="28"/>
              </w:rPr>
              <w:t>(</w:t>
            </w:r>
            <w:r w:rsidRPr="008E6F7A">
              <w:rPr>
                <w:rFonts w:ascii="標楷體" w:eastAsia="標楷體" w:hAnsi="標楷體" w:hint="eastAsia"/>
                <w:sz w:val="28"/>
                <w:szCs w:val="28"/>
              </w:rPr>
              <w:t>總務處-職務宿舍管理</w:t>
            </w:r>
            <w:r>
              <w:rPr>
                <w:rFonts w:ascii="標楷體" w:eastAsia="標楷體" w:hAnsi="標楷體" w:hint="eastAsia"/>
                <w:sz w:val="28"/>
                <w:szCs w:val="28"/>
              </w:rPr>
              <w:t>)</w:t>
            </w:r>
          </w:p>
        </w:tc>
        <w:tc>
          <w:tcPr>
            <w:tcW w:w="3319" w:type="dxa"/>
          </w:tcPr>
          <w:p w:rsidR="00A30684" w:rsidRPr="00C86F39" w:rsidRDefault="00A30684" w:rsidP="00A9414A">
            <w:pPr>
              <w:spacing w:line="500" w:lineRule="exact"/>
              <w:jc w:val="both"/>
              <w:rPr>
                <w:rFonts w:ascii="標楷體" w:eastAsia="標楷體" w:hAnsi="標楷體"/>
                <w:sz w:val="28"/>
                <w:szCs w:val="28"/>
              </w:rPr>
            </w:pPr>
          </w:p>
        </w:tc>
        <w:tc>
          <w:tcPr>
            <w:tcW w:w="2820" w:type="dxa"/>
          </w:tcPr>
          <w:p w:rsidR="00A30684" w:rsidRPr="00C86F39" w:rsidRDefault="00A30684" w:rsidP="00A9414A">
            <w:pPr>
              <w:spacing w:line="500" w:lineRule="exact"/>
              <w:jc w:val="both"/>
              <w:rPr>
                <w:rFonts w:ascii="標楷體" w:eastAsia="標楷體" w:hAnsi="標楷體"/>
                <w:sz w:val="28"/>
                <w:szCs w:val="28"/>
              </w:rPr>
            </w:pPr>
          </w:p>
        </w:tc>
      </w:tr>
      <w:tr w:rsidR="00A30684" w:rsidRPr="00C86F39" w:rsidTr="00A9414A">
        <w:trPr>
          <w:trHeight w:val="851"/>
        </w:trPr>
        <w:tc>
          <w:tcPr>
            <w:tcW w:w="817" w:type="dxa"/>
          </w:tcPr>
          <w:p w:rsidR="00A30684" w:rsidRPr="00C86F39" w:rsidRDefault="00372AB2" w:rsidP="00A9414A">
            <w:pPr>
              <w:spacing w:line="500" w:lineRule="exact"/>
              <w:jc w:val="center"/>
              <w:rPr>
                <w:rFonts w:ascii="標楷體" w:eastAsia="標楷體" w:hAnsi="標楷體"/>
                <w:sz w:val="28"/>
                <w:szCs w:val="28"/>
              </w:rPr>
            </w:pPr>
            <w:r>
              <w:rPr>
                <w:rFonts w:ascii="標楷體" w:eastAsia="標楷體" w:hAnsi="標楷體" w:hint="eastAsia"/>
                <w:sz w:val="28"/>
                <w:szCs w:val="28"/>
              </w:rPr>
              <w:t>6</w:t>
            </w:r>
          </w:p>
        </w:tc>
        <w:tc>
          <w:tcPr>
            <w:tcW w:w="2692" w:type="dxa"/>
          </w:tcPr>
          <w:p w:rsidR="00A30684" w:rsidRPr="00C86F39" w:rsidRDefault="00372AB2" w:rsidP="00A9414A">
            <w:pPr>
              <w:spacing w:line="500" w:lineRule="exact"/>
              <w:rPr>
                <w:rFonts w:ascii="標楷體" w:eastAsia="標楷體" w:hAnsi="標楷體"/>
                <w:sz w:val="28"/>
                <w:szCs w:val="28"/>
              </w:rPr>
            </w:pPr>
            <w:r w:rsidRPr="008E6F7A">
              <w:rPr>
                <w:rFonts w:ascii="標楷體" w:eastAsia="標楷體" w:hAnsi="標楷體" w:hint="eastAsia"/>
                <w:sz w:val="28"/>
                <w:szCs w:val="28"/>
              </w:rPr>
              <w:t>請</w:t>
            </w:r>
            <w:r>
              <w:rPr>
                <w:rFonts w:ascii="標楷體" w:eastAsia="標楷體" w:hAnsi="標楷體" w:hint="eastAsia"/>
                <w:sz w:val="28"/>
                <w:szCs w:val="28"/>
              </w:rPr>
              <w:t>將控制重點納入流程，</w:t>
            </w:r>
            <w:r w:rsidRPr="008E6F7A">
              <w:rPr>
                <w:rFonts w:ascii="標楷體" w:eastAsia="標楷體" w:hAnsi="標楷體" w:hint="eastAsia"/>
                <w:sz w:val="28"/>
                <w:szCs w:val="28"/>
              </w:rPr>
              <w:t>重新修正財產管理流程，納入內部控制手冊第四版。</w:t>
            </w:r>
            <w:r>
              <w:rPr>
                <w:rFonts w:ascii="標楷體" w:eastAsia="標楷體" w:hAnsi="標楷體" w:hint="eastAsia"/>
                <w:sz w:val="28"/>
                <w:szCs w:val="28"/>
              </w:rPr>
              <w:t>(</w:t>
            </w:r>
            <w:r w:rsidRPr="008E6F7A">
              <w:rPr>
                <w:rFonts w:ascii="標楷體" w:eastAsia="標楷體" w:hAnsi="標楷體" w:hint="eastAsia"/>
                <w:sz w:val="28"/>
                <w:szCs w:val="28"/>
              </w:rPr>
              <w:t>總務處-財產管理</w:t>
            </w:r>
            <w:r>
              <w:rPr>
                <w:rFonts w:ascii="標楷體" w:eastAsia="標楷體" w:hAnsi="標楷體" w:hint="eastAsia"/>
                <w:sz w:val="28"/>
                <w:szCs w:val="28"/>
              </w:rPr>
              <w:t>)</w:t>
            </w:r>
          </w:p>
        </w:tc>
        <w:tc>
          <w:tcPr>
            <w:tcW w:w="3319" w:type="dxa"/>
          </w:tcPr>
          <w:p w:rsidR="00A30684" w:rsidRPr="00C86F39" w:rsidRDefault="00A30684" w:rsidP="00A9414A">
            <w:pPr>
              <w:spacing w:line="500" w:lineRule="exact"/>
              <w:jc w:val="both"/>
              <w:rPr>
                <w:rFonts w:ascii="標楷體" w:eastAsia="標楷體" w:hAnsi="標楷體"/>
                <w:sz w:val="28"/>
                <w:szCs w:val="28"/>
              </w:rPr>
            </w:pPr>
          </w:p>
        </w:tc>
        <w:tc>
          <w:tcPr>
            <w:tcW w:w="2820" w:type="dxa"/>
          </w:tcPr>
          <w:p w:rsidR="00A30684" w:rsidRPr="00C86F39" w:rsidRDefault="00A30684" w:rsidP="00A9414A">
            <w:pPr>
              <w:spacing w:line="500" w:lineRule="exact"/>
              <w:jc w:val="both"/>
              <w:rPr>
                <w:rFonts w:ascii="標楷體" w:eastAsia="標楷體" w:hAnsi="標楷體"/>
                <w:sz w:val="28"/>
                <w:szCs w:val="28"/>
              </w:rPr>
            </w:pPr>
          </w:p>
        </w:tc>
      </w:tr>
      <w:tr w:rsidR="00A30684" w:rsidRPr="00C86F39" w:rsidTr="00A9414A">
        <w:trPr>
          <w:trHeight w:val="851"/>
        </w:trPr>
        <w:tc>
          <w:tcPr>
            <w:tcW w:w="817" w:type="dxa"/>
          </w:tcPr>
          <w:p w:rsidR="00A30684" w:rsidRPr="00C86F39" w:rsidRDefault="00372AB2" w:rsidP="00A9414A">
            <w:pPr>
              <w:spacing w:line="500" w:lineRule="exact"/>
              <w:jc w:val="center"/>
              <w:rPr>
                <w:rFonts w:ascii="標楷體" w:eastAsia="標楷體" w:hAnsi="標楷體"/>
                <w:sz w:val="28"/>
                <w:szCs w:val="28"/>
              </w:rPr>
            </w:pPr>
            <w:r>
              <w:rPr>
                <w:rFonts w:ascii="標楷體" w:eastAsia="標楷體" w:hAnsi="標楷體" w:hint="eastAsia"/>
                <w:sz w:val="28"/>
                <w:szCs w:val="28"/>
              </w:rPr>
              <w:t>7</w:t>
            </w:r>
          </w:p>
        </w:tc>
        <w:tc>
          <w:tcPr>
            <w:tcW w:w="2692" w:type="dxa"/>
          </w:tcPr>
          <w:p w:rsidR="003C795A" w:rsidRPr="003C795A" w:rsidRDefault="003C795A" w:rsidP="003C795A">
            <w:pPr>
              <w:numPr>
                <w:ilvl w:val="0"/>
                <w:numId w:val="1"/>
              </w:numPr>
              <w:spacing w:line="400" w:lineRule="exact"/>
              <w:jc w:val="both"/>
              <w:rPr>
                <w:rFonts w:ascii="標楷體" w:eastAsia="標楷體" w:hAnsi="標楷體"/>
                <w:sz w:val="28"/>
                <w:szCs w:val="28"/>
              </w:rPr>
            </w:pPr>
            <w:r w:rsidRPr="003C795A">
              <w:rPr>
                <w:rFonts w:ascii="標楷體" w:eastAsia="標楷體" w:hAnsi="標楷體" w:hint="eastAsia"/>
                <w:sz w:val="28"/>
                <w:szCs w:val="28"/>
              </w:rPr>
              <w:t>建議將遲交成績之老師，區分為有無具體理由者；也可將遲繳時間區分為：遲繳一日，遲繳二日，遲繳三日以上。如此，可以明顯呈現此一考核績效。</w:t>
            </w:r>
          </w:p>
          <w:p w:rsidR="00A30684" w:rsidRPr="00C86F39" w:rsidRDefault="003C795A" w:rsidP="003C795A">
            <w:pPr>
              <w:numPr>
                <w:ilvl w:val="0"/>
                <w:numId w:val="1"/>
              </w:numPr>
              <w:spacing w:line="400" w:lineRule="exact"/>
              <w:jc w:val="both"/>
              <w:rPr>
                <w:rFonts w:ascii="標楷體" w:eastAsia="標楷體" w:hAnsi="標楷體"/>
                <w:sz w:val="28"/>
                <w:szCs w:val="28"/>
              </w:rPr>
            </w:pPr>
            <w:r w:rsidRPr="008E6F7A">
              <w:rPr>
                <w:rFonts w:ascii="標楷體" w:eastAsia="標楷體" w:hAnsi="標楷體" w:hint="eastAsia"/>
                <w:sz w:val="28"/>
                <w:szCs w:val="28"/>
              </w:rPr>
              <w:t>因</w:t>
            </w:r>
            <w:proofErr w:type="gramStart"/>
            <w:r w:rsidRPr="008E6F7A">
              <w:rPr>
                <w:rFonts w:ascii="標楷體" w:eastAsia="標楷體" w:hAnsi="標楷體" w:hint="eastAsia"/>
                <w:sz w:val="28"/>
                <w:szCs w:val="28"/>
              </w:rPr>
              <w:t>個</w:t>
            </w:r>
            <w:proofErr w:type="gramEnd"/>
            <w:r w:rsidRPr="008E6F7A">
              <w:rPr>
                <w:rFonts w:ascii="標楷體" w:eastAsia="標楷體" w:hAnsi="標楷體" w:hint="eastAsia"/>
                <w:sz w:val="28"/>
                <w:szCs w:val="28"/>
              </w:rPr>
              <w:t>資法限制，未</w:t>
            </w:r>
            <w:r>
              <w:rPr>
                <w:rFonts w:ascii="標楷體" w:eastAsia="標楷體" w:hAnsi="標楷體" w:hint="eastAsia"/>
                <w:sz w:val="28"/>
                <w:szCs w:val="28"/>
              </w:rPr>
              <w:t>能</w:t>
            </w:r>
            <w:r w:rsidRPr="008E6F7A">
              <w:rPr>
                <w:rFonts w:ascii="標楷體" w:eastAsia="標楷體" w:hAnsi="標楷體" w:hint="eastAsia"/>
                <w:sz w:val="28"/>
                <w:szCs w:val="28"/>
              </w:rPr>
              <w:t>即</w:t>
            </w:r>
            <w:r>
              <w:rPr>
                <w:rFonts w:ascii="標楷體" w:eastAsia="標楷體" w:hAnsi="標楷體" w:hint="eastAsia"/>
                <w:sz w:val="28"/>
                <w:szCs w:val="28"/>
              </w:rPr>
              <w:t>時讓</w:t>
            </w:r>
            <w:r w:rsidRPr="008E6F7A">
              <w:rPr>
                <w:rFonts w:ascii="標楷體" w:eastAsia="標楷體" w:hAnsi="標楷體" w:hint="eastAsia"/>
                <w:sz w:val="28"/>
                <w:szCs w:val="28"/>
              </w:rPr>
              <w:t>家長掌握其子女成績近況，建議可以於新生入學時給予家長相關訊息；使家長與其子女取得默契，</w:t>
            </w:r>
            <w:proofErr w:type="gramStart"/>
            <w:r w:rsidRPr="008E6F7A">
              <w:rPr>
                <w:rFonts w:ascii="標楷體" w:eastAsia="標楷體" w:hAnsi="標楷體" w:hint="eastAsia"/>
                <w:sz w:val="28"/>
                <w:szCs w:val="28"/>
              </w:rPr>
              <w:t>學校於寄發</w:t>
            </w:r>
            <w:proofErr w:type="gramEnd"/>
            <w:r w:rsidRPr="008E6F7A">
              <w:rPr>
                <w:rFonts w:ascii="標楷體" w:eastAsia="標楷體" w:hAnsi="標楷體" w:hint="eastAsia"/>
                <w:sz w:val="28"/>
                <w:szCs w:val="28"/>
              </w:rPr>
              <w:t>成績時可以同時通知其父母。</w:t>
            </w:r>
            <w:r>
              <w:rPr>
                <w:rFonts w:ascii="標楷體" w:eastAsia="標楷體" w:hAnsi="標楷體" w:hint="eastAsia"/>
                <w:sz w:val="28"/>
                <w:szCs w:val="28"/>
              </w:rPr>
              <w:t>(</w:t>
            </w:r>
            <w:r w:rsidRPr="008E6F7A">
              <w:rPr>
                <w:rFonts w:eastAsia="標楷體" w:hint="eastAsia"/>
                <w:sz w:val="28"/>
                <w:szCs w:val="28"/>
              </w:rPr>
              <w:t>教務處：學生成績管理</w:t>
            </w:r>
            <w:r>
              <w:rPr>
                <w:rFonts w:ascii="標楷體" w:eastAsia="標楷體" w:hAnsi="標楷體" w:hint="eastAsia"/>
                <w:sz w:val="28"/>
                <w:szCs w:val="28"/>
              </w:rPr>
              <w:t>)</w:t>
            </w:r>
          </w:p>
        </w:tc>
        <w:tc>
          <w:tcPr>
            <w:tcW w:w="3319" w:type="dxa"/>
          </w:tcPr>
          <w:p w:rsidR="00A30684" w:rsidRPr="00C86F39" w:rsidRDefault="00A30684" w:rsidP="00A9414A">
            <w:pPr>
              <w:spacing w:line="500" w:lineRule="exact"/>
              <w:jc w:val="both"/>
              <w:rPr>
                <w:rFonts w:ascii="標楷體" w:eastAsia="標楷體" w:hAnsi="標楷體"/>
                <w:sz w:val="28"/>
                <w:szCs w:val="28"/>
              </w:rPr>
            </w:pPr>
          </w:p>
        </w:tc>
        <w:tc>
          <w:tcPr>
            <w:tcW w:w="2820" w:type="dxa"/>
          </w:tcPr>
          <w:p w:rsidR="00A30684" w:rsidRPr="00C86F39" w:rsidRDefault="00A30684" w:rsidP="00A9414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3C795A" w:rsidRDefault="003C795A" w:rsidP="003C795A">
            <w:pPr>
              <w:spacing w:line="500" w:lineRule="exact"/>
              <w:jc w:val="center"/>
              <w:rPr>
                <w:rFonts w:ascii="標楷體" w:eastAsia="標楷體" w:hAnsi="標楷體"/>
                <w:sz w:val="28"/>
                <w:szCs w:val="28"/>
              </w:rPr>
            </w:pPr>
            <w:r>
              <w:rPr>
                <w:rFonts w:ascii="標楷體" w:eastAsia="標楷體" w:hAnsi="標楷體" w:hint="eastAsia"/>
                <w:sz w:val="28"/>
                <w:szCs w:val="28"/>
              </w:rPr>
              <w:t>8</w:t>
            </w:r>
          </w:p>
        </w:tc>
        <w:tc>
          <w:tcPr>
            <w:tcW w:w="2692" w:type="dxa"/>
          </w:tcPr>
          <w:p w:rsidR="003C795A" w:rsidRPr="008E6F7A" w:rsidRDefault="003C795A" w:rsidP="003C795A">
            <w:pPr>
              <w:numPr>
                <w:ilvl w:val="0"/>
                <w:numId w:val="2"/>
              </w:numPr>
              <w:spacing w:line="400" w:lineRule="exact"/>
              <w:jc w:val="both"/>
              <w:rPr>
                <w:rFonts w:ascii="標楷體" w:eastAsia="標楷體" w:hAnsi="標楷體"/>
                <w:sz w:val="28"/>
                <w:szCs w:val="28"/>
              </w:rPr>
            </w:pPr>
            <w:r w:rsidRPr="008E6F7A">
              <w:rPr>
                <w:rFonts w:ascii="標楷體" w:eastAsia="標楷體" w:hAnsi="標楷體" w:hint="eastAsia"/>
                <w:sz w:val="28"/>
                <w:szCs w:val="28"/>
              </w:rPr>
              <w:t>是否可以承接同學於入學前（國/高中時期</w:t>
            </w:r>
            <w:r w:rsidRPr="008E6F7A">
              <w:rPr>
                <w:rFonts w:ascii="標楷體" w:eastAsia="標楷體" w:hAnsi="標楷體"/>
                <w:sz w:val="28"/>
                <w:szCs w:val="28"/>
              </w:rPr>
              <w:t>）</w:t>
            </w:r>
            <w:r w:rsidRPr="008E6F7A">
              <w:rPr>
                <w:rFonts w:ascii="標楷體" w:eastAsia="標楷體" w:hAnsi="標楷體" w:hint="eastAsia"/>
                <w:sz w:val="28"/>
                <w:szCs w:val="28"/>
              </w:rPr>
              <w:t>之藥物使用紀錄。</w:t>
            </w:r>
          </w:p>
          <w:p w:rsidR="003C795A" w:rsidRPr="008E6F7A" w:rsidRDefault="003C795A" w:rsidP="003C795A">
            <w:pPr>
              <w:numPr>
                <w:ilvl w:val="0"/>
                <w:numId w:val="2"/>
              </w:numPr>
              <w:spacing w:line="400" w:lineRule="exact"/>
              <w:jc w:val="both"/>
              <w:rPr>
                <w:rFonts w:ascii="標楷體" w:eastAsia="標楷體" w:hAnsi="標楷體"/>
                <w:sz w:val="28"/>
                <w:szCs w:val="28"/>
              </w:rPr>
            </w:pPr>
            <w:r w:rsidRPr="008E6F7A">
              <w:rPr>
                <w:rFonts w:ascii="標楷體" w:eastAsia="標楷體" w:hAnsi="標楷體" w:hint="eastAsia"/>
                <w:sz w:val="28"/>
                <w:szCs w:val="28"/>
              </w:rPr>
              <w:t>舉辦反毒與藥物濫用活動內容應吸引青年學子。並應常態性舉辦。</w:t>
            </w:r>
          </w:p>
          <w:p w:rsidR="003C795A" w:rsidRPr="008E6F7A" w:rsidRDefault="003C795A" w:rsidP="003C795A">
            <w:pPr>
              <w:numPr>
                <w:ilvl w:val="0"/>
                <w:numId w:val="2"/>
              </w:numPr>
              <w:spacing w:line="400" w:lineRule="exact"/>
              <w:jc w:val="both"/>
              <w:rPr>
                <w:rFonts w:ascii="標楷體" w:eastAsia="標楷體" w:hAnsi="標楷體"/>
                <w:sz w:val="28"/>
                <w:szCs w:val="28"/>
              </w:rPr>
            </w:pPr>
            <w:r w:rsidRPr="008E6F7A">
              <w:rPr>
                <w:rFonts w:ascii="標楷體" w:eastAsia="標楷體" w:hAnsi="標楷體" w:hint="eastAsia"/>
                <w:sz w:val="28"/>
                <w:szCs w:val="28"/>
              </w:rPr>
              <w:t>是否可以於新生入學體檢時將驗尿一項列為必要項目。</w:t>
            </w:r>
          </w:p>
          <w:p w:rsidR="003C795A" w:rsidRPr="008E6F7A" w:rsidRDefault="003C795A" w:rsidP="003C795A">
            <w:pPr>
              <w:numPr>
                <w:ilvl w:val="0"/>
                <w:numId w:val="2"/>
              </w:numPr>
              <w:spacing w:line="400" w:lineRule="exact"/>
              <w:jc w:val="both"/>
              <w:rPr>
                <w:rFonts w:ascii="標楷體" w:eastAsia="標楷體" w:hAnsi="標楷體"/>
                <w:sz w:val="28"/>
                <w:szCs w:val="28"/>
              </w:rPr>
            </w:pPr>
            <w:r w:rsidRPr="008E6F7A">
              <w:rPr>
                <w:rFonts w:ascii="標楷體" w:eastAsia="標楷體" w:hAnsi="標楷體" w:hint="eastAsia"/>
                <w:sz w:val="28"/>
                <w:szCs w:val="28"/>
              </w:rPr>
              <w:t>針對毒品與藥物濫用等相關資訊，應可以考慮於導師時間以專題演講方式加以宣導。並製作簡易圖卡，教導老師與同學，如何由表情與行為等跡象，察覺其中差異。</w:t>
            </w:r>
          </w:p>
          <w:p w:rsidR="003C795A" w:rsidRPr="008E6F7A" w:rsidRDefault="003C795A" w:rsidP="003C795A">
            <w:pPr>
              <w:numPr>
                <w:ilvl w:val="0"/>
                <w:numId w:val="2"/>
              </w:numPr>
              <w:spacing w:line="400" w:lineRule="exact"/>
              <w:jc w:val="both"/>
              <w:rPr>
                <w:rFonts w:ascii="標楷體" w:eastAsia="標楷體" w:hAnsi="標楷體"/>
                <w:sz w:val="28"/>
                <w:szCs w:val="28"/>
              </w:rPr>
            </w:pPr>
            <w:r w:rsidRPr="008E6F7A">
              <w:rPr>
                <w:rFonts w:ascii="標楷體" w:eastAsia="標楷體" w:hAnsi="標楷體" w:hint="eastAsia"/>
                <w:sz w:val="28"/>
                <w:szCs w:val="28"/>
              </w:rPr>
              <w:t>諮商輔導室應於保護個人隱私情形下，與處理毒品與藥物濫用單位相互加以配合。</w:t>
            </w:r>
            <w:r>
              <w:rPr>
                <w:rFonts w:ascii="標楷體" w:eastAsia="標楷體" w:hAnsi="標楷體" w:hint="eastAsia"/>
                <w:sz w:val="28"/>
                <w:szCs w:val="28"/>
              </w:rPr>
              <w:t>(</w:t>
            </w:r>
            <w:r w:rsidRPr="008E6F7A">
              <w:rPr>
                <w:rFonts w:eastAsia="標楷體" w:hint="eastAsia"/>
                <w:sz w:val="28"/>
                <w:szCs w:val="28"/>
              </w:rPr>
              <w:t>學</w:t>
            </w:r>
            <w:proofErr w:type="gramStart"/>
            <w:r w:rsidRPr="008E6F7A">
              <w:rPr>
                <w:rFonts w:eastAsia="標楷體" w:hint="eastAsia"/>
                <w:sz w:val="28"/>
                <w:szCs w:val="28"/>
              </w:rPr>
              <w:t>務</w:t>
            </w:r>
            <w:proofErr w:type="gramEnd"/>
            <w:r w:rsidRPr="008E6F7A">
              <w:rPr>
                <w:rFonts w:eastAsia="標楷體" w:hint="eastAsia"/>
                <w:sz w:val="28"/>
                <w:szCs w:val="28"/>
              </w:rPr>
              <w:t>處：</w:t>
            </w:r>
            <w:r w:rsidRPr="008E6F7A">
              <w:rPr>
                <w:rFonts w:eastAsia="標楷體"/>
                <w:sz w:val="28"/>
                <w:szCs w:val="28"/>
              </w:rPr>
              <w:t xml:space="preserve"> </w:t>
            </w:r>
            <w:r w:rsidRPr="008E6F7A">
              <w:rPr>
                <w:rFonts w:eastAsia="標楷體" w:hint="eastAsia"/>
                <w:sz w:val="28"/>
                <w:szCs w:val="28"/>
              </w:rPr>
              <w:t>藥物濫用事件處理</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3C795A" w:rsidP="003C795A">
            <w:pPr>
              <w:spacing w:line="500" w:lineRule="exact"/>
              <w:jc w:val="center"/>
              <w:rPr>
                <w:rFonts w:ascii="標楷體" w:eastAsia="標楷體" w:hAnsi="標楷體"/>
                <w:sz w:val="28"/>
                <w:szCs w:val="28"/>
              </w:rPr>
            </w:pPr>
            <w:r>
              <w:rPr>
                <w:rFonts w:ascii="標楷體" w:eastAsia="標楷體" w:hAnsi="標楷體" w:hint="eastAsia"/>
                <w:sz w:val="28"/>
                <w:szCs w:val="28"/>
              </w:rPr>
              <w:t>9</w:t>
            </w:r>
          </w:p>
        </w:tc>
        <w:tc>
          <w:tcPr>
            <w:tcW w:w="2692" w:type="dxa"/>
          </w:tcPr>
          <w:p w:rsidR="003C795A" w:rsidRPr="00C86F39" w:rsidRDefault="003C795A" w:rsidP="003C795A">
            <w:pPr>
              <w:spacing w:line="500" w:lineRule="exact"/>
              <w:rPr>
                <w:rFonts w:ascii="標楷體" w:eastAsia="標楷體" w:hAnsi="標楷體"/>
                <w:sz w:val="28"/>
                <w:szCs w:val="28"/>
              </w:rPr>
            </w:pPr>
            <w:r w:rsidRPr="008E6F7A">
              <w:rPr>
                <w:rFonts w:ascii="標楷體" w:eastAsia="標楷體" w:hAnsi="標楷體" w:hint="eastAsia"/>
                <w:sz w:val="28"/>
                <w:szCs w:val="28"/>
              </w:rPr>
              <w:t>更多元宣導與大陸地區姊妹校之交流資訊。</w:t>
            </w:r>
            <w:r>
              <w:rPr>
                <w:rFonts w:ascii="標楷體" w:eastAsia="標楷體" w:hAnsi="標楷體" w:hint="eastAsia"/>
                <w:sz w:val="28"/>
                <w:szCs w:val="28"/>
              </w:rPr>
              <w:t>(</w:t>
            </w:r>
            <w:r w:rsidRPr="008E6F7A">
              <w:rPr>
                <w:rFonts w:eastAsia="標楷體" w:hint="eastAsia"/>
                <w:sz w:val="28"/>
                <w:szCs w:val="28"/>
              </w:rPr>
              <w:t>國際處：本校與大陸地區學校締結姊妹校（不含港、澳地區）</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3C795A"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10</w:t>
            </w:r>
          </w:p>
        </w:tc>
        <w:tc>
          <w:tcPr>
            <w:tcW w:w="2692" w:type="dxa"/>
          </w:tcPr>
          <w:p w:rsidR="003C795A" w:rsidRPr="00C86F39" w:rsidRDefault="003C795A" w:rsidP="003C795A">
            <w:pPr>
              <w:spacing w:line="500" w:lineRule="exact"/>
              <w:rPr>
                <w:rFonts w:ascii="標楷體" w:eastAsia="標楷體" w:hAnsi="標楷體"/>
                <w:sz w:val="28"/>
                <w:szCs w:val="28"/>
              </w:rPr>
            </w:pPr>
            <w:r w:rsidRPr="008E6F7A">
              <w:rPr>
                <w:rFonts w:ascii="標楷體" w:eastAsia="標楷體" w:hAnsi="標楷體" w:hint="eastAsia"/>
                <w:sz w:val="28"/>
                <w:szCs w:val="28"/>
              </w:rPr>
              <w:t>建議可以收集相關個人電腦使用安全危害事件案例，使其更為貼近生活化，提供諮詢與定時加以宣導。</w:t>
            </w:r>
            <w:r>
              <w:rPr>
                <w:rFonts w:ascii="標楷體" w:eastAsia="標楷體" w:hAnsi="標楷體" w:hint="eastAsia"/>
                <w:sz w:val="28"/>
                <w:szCs w:val="28"/>
              </w:rPr>
              <w:t>(</w:t>
            </w:r>
            <w:r w:rsidRPr="008E6F7A">
              <w:rPr>
                <w:rFonts w:eastAsia="標楷體" w:hint="eastAsia"/>
                <w:sz w:val="28"/>
                <w:szCs w:val="28"/>
              </w:rPr>
              <w:t>資訊中心：個人電腦使用安全設定</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3C795A"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11</w:t>
            </w:r>
          </w:p>
        </w:tc>
        <w:tc>
          <w:tcPr>
            <w:tcW w:w="2692" w:type="dxa"/>
          </w:tcPr>
          <w:p w:rsidR="003C795A" w:rsidRPr="00C86F39" w:rsidRDefault="003C795A" w:rsidP="003C795A">
            <w:pPr>
              <w:spacing w:line="500" w:lineRule="exact"/>
              <w:rPr>
                <w:rFonts w:ascii="標楷體" w:eastAsia="標楷體" w:hAnsi="標楷體"/>
                <w:sz w:val="28"/>
                <w:szCs w:val="28"/>
              </w:rPr>
            </w:pPr>
            <w:r w:rsidRPr="008E6F7A">
              <w:rPr>
                <w:rFonts w:ascii="標楷體" w:eastAsia="標楷體" w:hAnsi="標楷體" w:hint="eastAsia"/>
                <w:sz w:val="28"/>
                <w:szCs w:val="28"/>
              </w:rPr>
              <w:t>建議在經費許可範圍內，逐年編列預算修繕或更新宿舍設備，尤其以有安全疑慮部份應優先處理。</w:t>
            </w:r>
            <w:r>
              <w:rPr>
                <w:rFonts w:ascii="標楷體" w:eastAsia="標楷體" w:hAnsi="標楷體" w:hint="eastAsia"/>
                <w:sz w:val="28"/>
                <w:szCs w:val="28"/>
              </w:rPr>
              <w:t>(</w:t>
            </w:r>
            <w:r w:rsidRPr="008E6F7A">
              <w:rPr>
                <w:rFonts w:eastAsia="標楷體" w:hint="eastAsia"/>
                <w:kern w:val="0"/>
                <w:sz w:val="28"/>
                <w:szCs w:val="28"/>
              </w:rPr>
              <w:t>學</w:t>
            </w:r>
            <w:proofErr w:type="gramStart"/>
            <w:r w:rsidRPr="008E6F7A">
              <w:rPr>
                <w:rFonts w:eastAsia="標楷體" w:hint="eastAsia"/>
                <w:kern w:val="0"/>
                <w:sz w:val="28"/>
                <w:szCs w:val="28"/>
              </w:rPr>
              <w:t>務</w:t>
            </w:r>
            <w:proofErr w:type="gramEnd"/>
            <w:r w:rsidRPr="008E6F7A">
              <w:rPr>
                <w:rFonts w:eastAsia="標楷體" w:hint="eastAsia"/>
                <w:kern w:val="0"/>
                <w:sz w:val="28"/>
                <w:szCs w:val="28"/>
              </w:rPr>
              <w:t>處：學生宿舍管理</w:t>
            </w:r>
            <w:r w:rsidRPr="008E6F7A">
              <w:rPr>
                <w:rFonts w:ascii="標楷體" w:eastAsia="標楷體" w:hAnsi="標楷體" w:hint="eastAsia"/>
                <w:sz w:val="28"/>
                <w:szCs w:val="28"/>
              </w:rPr>
              <w:t>。</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3C795A"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12</w:t>
            </w:r>
          </w:p>
        </w:tc>
        <w:tc>
          <w:tcPr>
            <w:tcW w:w="2692" w:type="dxa"/>
          </w:tcPr>
          <w:p w:rsidR="003C795A" w:rsidRPr="00C86F39" w:rsidRDefault="003C795A" w:rsidP="008C75C6">
            <w:pPr>
              <w:spacing w:line="500" w:lineRule="exact"/>
              <w:rPr>
                <w:rFonts w:ascii="標楷體" w:eastAsia="標楷體" w:hAnsi="標楷體"/>
                <w:sz w:val="28"/>
                <w:szCs w:val="28"/>
              </w:rPr>
            </w:pPr>
            <w:r w:rsidRPr="008E6F7A">
              <w:rPr>
                <w:rFonts w:ascii="標楷體" w:eastAsia="標楷體" w:hAnsi="標楷體" w:hint="eastAsia"/>
                <w:sz w:val="28"/>
                <w:szCs w:val="28"/>
              </w:rPr>
              <w:t>應建立明確的學籍資料輸入錯誤的多重檢核機制，包括網路系統與人工檢核等。</w:t>
            </w:r>
            <w:r>
              <w:rPr>
                <w:rFonts w:ascii="標楷體" w:eastAsia="標楷體" w:hAnsi="標楷體" w:hint="eastAsia"/>
                <w:sz w:val="28"/>
                <w:szCs w:val="28"/>
              </w:rPr>
              <w:t>(</w:t>
            </w:r>
            <w:r w:rsidRPr="008E6F7A">
              <w:rPr>
                <w:rFonts w:eastAsia="標楷體" w:hint="eastAsia"/>
                <w:sz w:val="28"/>
                <w:szCs w:val="28"/>
              </w:rPr>
              <w:t>教務處：學籍管理</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13</w:t>
            </w:r>
          </w:p>
        </w:tc>
        <w:tc>
          <w:tcPr>
            <w:tcW w:w="2692" w:type="dxa"/>
          </w:tcPr>
          <w:p w:rsidR="003C795A" w:rsidRPr="00C86F39" w:rsidRDefault="008C75C6" w:rsidP="003C795A">
            <w:pPr>
              <w:spacing w:line="500" w:lineRule="exact"/>
              <w:rPr>
                <w:rFonts w:ascii="標楷體" w:eastAsia="標楷體" w:hAnsi="標楷體"/>
                <w:sz w:val="28"/>
                <w:szCs w:val="28"/>
              </w:rPr>
            </w:pPr>
            <w:proofErr w:type="gramStart"/>
            <w:r w:rsidRPr="008E6F7A">
              <w:rPr>
                <w:rFonts w:ascii="標楷體" w:eastAsia="標楷體" w:hAnsi="標楷體" w:hint="eastAsia"/>
                <w:sz w:val="28"/>
                <w:szCs w:val="28"/>
              </w:rPr>
              <w:t>面對少子化</w:t>
            </w:r>
            <w:proofErr w:type="gramEnd"/>
            <w:r w:rsidRPr="008E6F7A">
              <w:rPr>
                <w:rFonts w:ascii="標楷體" w:eastAsia="標楷體" w:hAnsi="標楷體" w:hint="eastAsia"/>
                <w:sz w:val="28"/>
                <w:szCs w:val="28"/>
              </w:rPr>
              <w:t>與社會環境趨勢，建議盡早提出明確的技職教育優勢之招生措施。</w:t>
            </w:r>
            <w:r>
              <w:rPr>
                <w:rFonts w:ascii="標楷體" w:eastAsia="標楷體" w:hAnsi="標楷體" w:hint="eastAsia"/>
                <w:sz w:val="28"/>
                <w:szCs w:val="28"/>
              </w:rPr>
              <w:t>(</w:t>
            </w:r>
            <w:r w:rsidRPr="008E6F7A">
              <w:rPr>
                <w:rFonts w:eastAsia="標楷體" w:hint="eastAsia"/>
                <w:sz w:val="28"/>
                <w:szCs w:val="28"/>
              </w:rPr>
              <w:t>教務處：</w:t>
            </w:r>
            <w:r w:rsidRPr="008E6F7A">
              <w:rPr>
                <w:rFonts w:eastAsia="標楷體"/>
                <w:sz w:val="28"/>
                <w:szCs w:val="28"/>
              </w:rPr>
              <w:t xml:space="preserve"> </w:t>
            </w:r>
            <w:r w:rsidRPr="008E6F7A">
              <w:rPr>
                <w:rFonts w:eastAsia="標楷體" w:hint="eastAsia"/>
                <w:sz w:val="28"/>
                <w:szCs w:val="28"/>
              </w:rPr>
              <w:t>增設調整院系所學位學程及招生名額總量提報作業</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14</w:t>
            </w:r>
          </w:p>
        </w:tc>
        <w:tc>
          <w:tcPr>
            <w:tcW w:w="2692" w:type="dxa"/>
          </w:tcPr>
          <w:p w:rsidR="003C795A" w:rsidRPr="00C86F39" w:rsidRDefault="008C75C6" w:rsidP="003C795A">
            <w:pPr>
              <w:spacing w:line="500" w:lineRule="exact"/>
              <w:rPr>
                <w:rFonts w:ascii="標楷體" w:eastAsia="標楷體" w:hAnsi="標楷體"/>
                <w:sz w:val="28"/>
                <w:szCs w:val="28"/>
              </w:rPr>
            </w:pPr>
            <w:r w:rsidRPr="008E6F7A">
              <w:rPr>
                <w:rFonts w:ascii="標楷體" w:eastAsia="標楷體" w:hAnsi="標楷體" w:hint="eastAsia"/>
                <w:sz w:val="28"/>
                <w:szCs w:val="28"/>
              </w:rPr>
              <w:t>典藏品的借展措施與辦法。值得考慮各項因素，</w:t>
            </w:r>
            <w:proofErr w:type="gramStart"/>
            <w:r w:rsidRPr="008E6F7A">
              <w:rPr>
                <w:rFonts w:ascii="標楷體" w:eastAsia="標楷體" w:hAnsi="標楷體" w:hint="eastAsia"/>
                <w:sz w:val="28"/>
                <w:szCs w:val="28"/>
              </w:rPr>
              <w:t>研</w:t>
            </w:r>
            <w:proofErr w:type="gramEnd"/>
            <w:r w:rsidRPr="008E6F7A">
              <w:rPr>
                <w:rFonts w:ascii="標楷體" w:eastAsia="標楷體" w:hAnsi="標楷體" w:hint="eastAsia"/>
                <w:sz w:val="28"/>
                <w:szCs w:val="28"/>
              </w:rPr>
              <w:t>擬訂定可行的措施與辦法。</w:t>
            </w:r>
            <w:r>
              <w:rPr>
                <w:rFonts w:ascii="標楷體" w:eastAsia="標楷體" w:hAnsi="標楷體" w:hint="eastAsia"/>
                <w:sz w:val="28"/>
                <w:szCs w:val="28"/>
              </w:rPr>
              <w:t>(</w:t>
            </w:r>
            <w:r w:rsidRPr="008E6F7A">
              <w:rPr>
                <w:rFonts w:eastAsia="標楷體" w:hint="eastAsia"/>
                <w:sz w:val="28"/>
                <w:szCs w:val="28"/>
              </w:rPr>
              <w:t>藝術中心：典藏品管理作業</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3F3874">
        <w:trPr>
          <w:trHeight w:val="699"/>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15</w:t>
            </w:r>
          </w:p>
        </w:tc>
        <w:tc>
          <w:tcPr>
            <w:tcW w:w="2692" w:type="dxa"/>
          </w:tcPr>
          <w:p w:rsidR="003C795A" w:rsidRPr="00C86F39" w:rsidRDefault="008C75C6" w:rsidP="008C75C6">
            <w:pPr>
              <w:spacing w:line="500" w:lineRule="exact"/>
              <w:rPr>
                <w:rFonts w:ascii="標楷體" w:eastAsia="標楷體" w:hAnsi="標楷體"/>
                <w:sz w:val="28"/>
                <w:szCs w:val="28"/>
              </w:rPr>
            </w:pPr>
            <w:r w:rsidRPr="008E6F7A">
              <w:rPr>
                <w:rFonts w:ascii="標楷體" w:eastAsia="標楷體" w:hAnsi="標楷體" w:hint="eastAsia"/>
                <w:sz w:val="28"/>
                <w:szCs w:val="28"/>
              </w:rPr>
              <w:t>作業流程圖中，建議增補：</w:t>
            </w:r>
            <w:r w:rsidRPr="008C75C6">
              <w:rPr>
                <w:rFonts w:ascii="標楷體" w:eastAsia="標楷體" w:hAnsi="標楷體" w:hint="eastAsia"/>
                <w:sz w:val="28"/>
                <w:szCs w:val="28"/>
              </w:rPr>
              <w:t>未通過急難補助申請途徑路線</w:t>
            </w:r>
            <w:r>
              <w:rPr>
                <w:rFonts w:ascii="標楷體" w:eastAsia="標楷體" w:hAnsi="標楷體" w:hint="eastAsia"/>
                <w:sz w:val="28"/>
                <w:szCs w:val="28"/>
              </w:rPr>
              <w:t>。(</w:t>
            </w:r>
            <w:r w:rsidRPr="008E6F7A">
              <w:rPr>
                <w:rFonts w:eastAsia="標楷體" w:hint="eastAsia"/>
                <w:sz w:val="28"/>
                <w:szCs w:val="28"/>
              </w:rPr>
              <w:t>學</w:t>
            </w:r>
            <w:proofErr w:type="gramStart"/>
            <w:r w:rsidRPr="008E6F7A">
              <w:rPr>
                <w:rFonts w:eastAsia="標楷體" w:hint="eastAsia"/>
                <w:sz w:val="28"/>
                <w:szCs w:val="28"/>
              </w:rPr>
              <w:t>務</w:t>
            </w:r>
            <w:proofErr w:type="gramEnd"/>
            <w:r w:rsidRPr="008E6F7A">
              <w:rPr>
                <w:rFonts w:eastAsia="標楷體" w:hint="eastAsia"/>
                <w:sz w:val="28"/>
                <w:szCs w:val="28"/>
              </w:rPr>
              <w:t>處：學生急難救助</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16</w:t>
            </w:r>
          </w:p>
        </w:tc>
        <w:tc>
          <w:tcPr>
            <w:tcW w:w="2692" w:type="dxa"/>
          </w:tcPr>
          <w:p w:rsidR="003C795A" w:rsidRPr="00C86F39" w:rsidRDefault="008C75C6" w:rsidP="003C795A">
            <w:pPr>
              <w:spacing w:line="500" w:lineRule="exact"/>
              <w:rPr>
                <w:rFonts w:ascii="標楷體" w:eastAsia="標楷體" w:hAnsi="標楷體"/>
                <w:sz w:val="28"/>
                <w:szCs w:val="28"/>
              </w:rPr>
            </w:pPr>
            <w:r w:rsidRPr="008E6F7A">
              <w:rPr>
                <w:rFonts w:ascii="標楷體" w:eastAsia="標楷體" w:hAnsi="標楷體" w:hint="eastAsia"/>
                <w:sz w:val="28"/>
                <w:szCs w:val="28"/>
              </w:rPr>
              <w:t>作業流程圖中，建議增補：</w:t>
            </w:r>
            <w:proofErr w:type="gramStart"/>
            <w:r w:rsidRPr="008C75C6">
              <w:rPr>
                <w:rFonts w:ascii="標楷體" w:eastAsia="標楷體" w:hAnsi="標楷體" w:hint="eastAsia"/>
                <w:sz w:val="28"/>
                <w:szCs w:val="28"/>
              </w:rPr>
              <w:t>溢貸</w:t>
            </w:r>
            <w:proofErr w:type="gramEnd"/>
            <w:r w:rsidRPr="008C75C6">
              <w:rPr>
                <w:rFonts w:ascii="標楷體" w:eastAsia="標楷體" w:hAnsi="標楷體" w:hint="eastAsia"/>
                <w:sz w:val="28"/>
                <w:szCs w:val="28"/>
              </w:rPr>
              <w:t>、資格不符者的徑路線。</w:t>
            </w:r>
            <w:r>
              <w:rPr>
                <w:rFonts w:ascii="標楷體" w:eastAsia="標楷體" w:hAnsi="標楷體" w:hint="eastAsia"/>
                <w:sz w:val="28"/>
                <w:szCs w:val="28"/>
              </w:rPr>
              <w:t>(</w:t>
            </w:r>
            <w:r w:rsidRPr="008E6F7A">
              <w:rPr>
                <w:rFonts w:eastAsia="標楷體" w:hint="eastAsia"/>
                <w:sz w:val="28"/>
                <w:szCs w:val="28"/>
              </w:rPr>
              <w:t>學</w:t>
            </w:r>
            <w:proofErr w:type="gramStart"/>
            <w:r w:rsidRPr="008E6F7A">
              <w:rPr>
                <w:rFonts w:eastAsia="標楷體" w:hint="eastAsia"/>
                <w:sz w:val="28"/>
                <w:szCs w:val="28"/>
              </w:rPr>
              <w:t>務</w:t>
            </w:r>
            <w:proofErr w:type="gramEnd"/>
            <w:r w:rsidRPr="008E6F7A">
              <w:rPr>
                <w:rFonts w:eastAsia="標楷體" w:hint="eastAsia"/>
                <w:sz w:val="28"/>
                <w:szCs w:val="28"/>
              </w:rPr>
              <w:t>處：學生就學貸款</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17</w:t>
            </w:r>
          </w:p>
        </w:tc>
        <w:tc>
          <w:tcPr>
            <w:tcW w:w="2692" w:type="dxa"/>
          </w:tcPr>
          <w:p w:rsidR="003C795A" w:rsidRPr="008C75C6" w:rsidRDefault="008C75C6" w:rsidP="003C795A">
            <w:pPr>
              <w:spacing w:line="500" w:lineRule="exact"/>
              <w:rPr>
                <w:rFonts w:ascii="標楷體" w:eastAsia="標楷體" w:hAnsi="標楷體"/>
                <w:sz w:val="28"/>
                <w:szCs w:val="28"/>
              </w:rPr>
            </w:pPr>
            <w:r w:rsidRPr="008E6F7A">
              <w:rPr>
                <w:rFonts w:ascii="標楷體" w:eastAsia="標楷體" w:hAnsi="標楷體" w:hint="eastAsia"/>
                <w:sz w:val="28"/>
                <w:szCs w:val="28"/>
              </w:rPr>
              <w:t>作業流程圖中，建議增補：多元服務學習方案與補作考評的</w:t>
            </w:r>
            <w:r>
              <w:rPr>
                <w:rFonts w:ascii="標楷體" w:eastAsia="標楷體" w:hAnsi="標楷體" w:hint="eastAsia"/>
                <w:sz w:val="28"/>
                <w:szCs w:val="28"/>
              </w:rPr>
              <w:t>途</w:t>
            </w:r>
            <w:r w:rsidRPr="008E6F7A">
              <w:rPr>
                <w:rFonts w:ascii="標楷體" w:eastAsia="標楷體" w:hAnsi="標楷體" w:hint="eastAsia"/>
                <w:sz w:val="28"/>
                <w:szCs w:val="28"/>
              </w:rPr>
              <w:t>徑路線。</w:t>
            </w:r>
            <w:r>
              <w:rPr>
                <w:rFonts w:ascii="標楷體" w:eastAsia="標楷體" w:hAnsi="標楷體" w:hint="eastAsia"/>
                <w:sz w:val="28"/>
                <w:szCs w:val="28"/>
              </w:rPr>
              <w:t>(</w:t>
            </w:r>
            <w:r w:rsidRPr="008E6F7A">
              <w:rPr>
                <w:rFonts w:eastAsia="標楷體" w:hint="eastAsia"/>
                <w:sz w:val="28"/>
                <w:szCs w:val="28"/>
              </w:rPr>
              <w:t>學</w:t>
            </w:r>
            <w:proofErr w:type="gramStart"/>
            <w:r w:rsidRPr="008E6F7A">
              <w:rPr>
                <w:rFonts w:eastAsia="標楷體" w:hint="eastAsia"/>
                <w:sz w:val="28"/>
                <w:szCs w:val="28"/>
              </w:rPr>
              <w:t>務</w:t>
            </w:r>
            <w:proofErr w:type="gramEnd"/>
            <w:r w:rsidRPr="008E6F7A">
              <w:rPr>
                <w:rFonts w:eastAsia="標楷體" w:hint="eastAsia"/>
                <w:sz w:val="28"/>
                <w:szCs w:val="28"/>
              </w:rPr>
              <w:t>處：勞作教育服務學習成績</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18</w:t>
            </w:r>
          </w:p>
        </w:tc>
        <w:tc>
          <w:tcPr>
            <w:tcW w:w="2692" w:type="dxa"/>
          </w:tcPr>
          <w:p w:rsidR="008C75C6" w:rsidRPr="008C75C6" w:rsidRDefault="008C75C6" w:rsidP="008C75C6">
            <w:pPr>
              <w:snapToGrid w:val="0"/>
              <w:spacing w:line="400" w:lineRule="exact"/>
              <w:jc w:val="both"/>
              <w:rPr>
                <w:rFonts w:ascii="標楷體" w:eastAsia="標楷體" w:hAnsi="標楷體"/>
                <w:sz w:val="28"/>
                <w:szCs w:val="28"/>
              </w:rPr>
            </w:pPr>
            <w:r w:rsidRPr="008C75C6">
              <w:rPr>
                <w:rFonts w:ascii="標楷體" w:eastAsia="標楷體" w:hAnsi="標楷體" w:hint="eastAsia"/>
                <w:sz w:val="28"/>
                <w:szCs w:val="28"/>
              </w:rPr>
              <w:t>1.若年度有超編預算事宜，為方便</w:t>
            </w:r>
            <w:r w:rsidRPr="008C75C6">
              <w:rPr>
                <w:rFonts w:ascii="Calibri" w:eastAsia="標楷體" w:hAnsi="Calibri" w:hint="eastAsia"/>
                <w:sz w:val="28"/>
                <w:szCs w:val="28"/>
              </w:rPr>
              <w:t>預算分配作業能反映各院系需求的優先順序</w:t>
            </w:r>
            <w:r w:rsidRPr="008C75C6">
              <w:rPr>
                <w:rFonts w:ascii="標楷體" w:eastAsia="標楷體" w:hAnsi="標楷體" w:hint="eastAsia"/>
                <w:sz w:val="28"/>
                <w:szCs w:val="28"/>
              </w:rPr>
              <w:t>，建議可在彙整單位審理全校收支概算後和本校概算審核會議前，先邀請各院長召開正式會議，共同討論各院超編預算的調整適宜。並宜建請各院於與會前，先行研討院內各系所</w:t>
            </w:r>
            <w:r w:rsidRPr="008C75C6">
              <w:rPr>
                <w:rFonts w:ascii="Calibri" w:eastAsia="標楷體" w:hAnsi="Calibri" w:hint="eastAsia"/>
                <w:sz w:val="28"/>
                <w:szCs w:val="28"/>
              </w:rPr>
              <w:t>需求的優先順序。</w:t>
            </w:r>
          </w:p>
          <w:p w:rsidR="003C795A" w:rsidRPr="00C86F39" w:rsidRDefault="008C75C6" w:rsidP="008C75C6">
            <w:pPr>
              <w:spacing w:line="500" w:lineRule="exact"/>
              <w:rPr>
                <w:rFonts w:ascii="標楷體" w:eastAsia="標楷體" w:hAnsi="標楷體"/>
                <w:sz w:val="28"/>
                <w:szCs w:val="28"/>
              </w:rPr>
            </w:pPr>
            <w:r w:rsidRPr="008C75C6">
              <w:rPr>
                <w:rFonts w:ascii="標楷體" w:eastAsia="標楷體" w:hAnsi="標楷體" w:hint="eastAsia"/>
                <w:sz w:val="28"/>
                <w:szCs w:val="28"/>
              </w:rPr>
              <w:t>2.因應未來預計會依據</w:t>
            </w:r>
            <w:r w:rsidRPr="008C75C6">
              <w:rPr>
                <w:rFonts w:ascii="Calibri" w:eastAsia="標楷體" w:hAnsi="Calibri" w:hint="eastAsia"/>
                <w:sz w:val="28"/>
                <w:szCs w:val="28"/>
              </w:rPr>
              <w:t>中長程發展計畫，</w:t>
            </w:r>
            <w:r w:rsidRPr="008C75C6">
              <w:rPr>
                <w:rFonts w:ascii="標楷體" w:eastAsia="標楷體" w:hAnsi="標楷體" w:hint="eastAsia"/>
                <w:sz w:val="28"/>
                <w:szCs w:val="28"/>
              </w:rPr>
              <w:t>訂定預算編列優先順序。建議宜提前在函知各單位估列收支概算時(現階段於一月初，建議提前。為方便銜接作業，建議可與研發處再行協調適宜的時間)，具體說明此作業規範。亦即函知各單位於邀請各院長召開超編預算的調整會議前(現階段為二月底至三月底)，須於研發處召開</w:t>
            </w:r>
            <w:r w:rsidRPr="008C75C6">
              <w:rPr>
                <w:rFonts w:ascii="Calibri" w:eastAsia="標楷體" w:hAnsi="Calibri" w:hint="eastAsia"/>
                <w:sz w:val="28"/>
                <w:szCs w:val="28"/>
              </w:rPr>
              <w:t>中長程發展計畫檢討會議時</w:t>
            </w:r>
            <w:r w:rsidRPr="008C75C6">
              <w:rPr>
                <w:rFonts w:ascii="Calibri" w:eastAsia="標楷體" w:hAnsi="Calibri" w:hint="eastAsia"/>
                <w:sz w:val="28"/>
                <w:szCs w:val="28"/>
              </w:rPr>
              <w:t>(</w:t>
            </w:r>
            <w:r w:rsidRPr="008C75C6">
              <w:rPr>
                <w:rFonts w:ascii="Calibri" w:eastAsia="標楷體" w:hAnsi="Calibri" w:hint="eastAsia"/>
                <w:sz w:val="28"/>
                <w:szCs w:val="28"/>
              </w:rPr>
              <w:t>現階段於</w:t>
            </w:r>
            <w:r w:rsidRPr="008C75C6">
              <w:rPr>
                <w:rFonts w:ascii="標楷體" w:eastAsia="標楷體" w:hAnsi="標楷體" w:hint="eastAsia"/>
                <w:sz w:val="28"/>
                <w:szCs w:val="28"/>
              </w:rPr>
              <w:t>六月份召開，為方便銜接作業，建議可與研發處再行協調適宜的時間)</w:t>
            </w:r>
            <w:r w:rsidRPr="008C75C6">
              <w:rPr>
                <w:rFonts w:ascii="Calibri" w:eastAsia="標楷體" w:hAnsi="Calibri" w:hint="eastAsia"/>
                <w:sz w:val="28"/>
                <w:szCs w:val="28"/>
              </w:rPr>
              <w:t>，</w:t>
            </w:r>
            <w:r w:rsidRPr="008C75C6">
              <w:rPr>
                <w:rFonts w:ascii="標楷體" w:eastAsia="標楷體" w:hAnsi="標楷體" w:hint="eastAsia"/>
                <w:sz w:val="28"/>
                <w:szCs w:val="28"/>
              </w:rPr>
              <w:t>正式文字修正相關內容，以利超編預算的調整會議時之作業依據。</w:t>
            </w:r>
            <w:r>
              <w:rPr>
                <w:rFonts w:ascii="標楷體" w:eastAsia="標楷體" w:hAnsi="標楷體" w:hint="eastAsia"/>
                <w:sz w:val="28"/>
                <w:szCs w:val="28"/>
              </w:rPr>
              <w:t>(</w:t>
            </w:r>
            <w:r w:rsidRPr="008E6F7A">
              <w:rPr>
                <w:rFonts w:ascii="標楷體" w:eastAsia="標楷體" w:hAnsi="標楷體" w:hint="eastAsia"/>
                <w:sz w:val="28"/>
                <w:szCs w:val="28"/>
              </w:rPr>
              <w:t>主計室：概預算籌編作業、預算分配</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19</w:t>
            </w:r>
          </w:p>
        </w:tc>
        <w:tc>
          <w:tcPr>
            <w:tcW w:w="2692" w:type="dxa"/>
          </w:tcPr>
          <w:p w:rsidR="008C75C6" w:rsidRPr="008C75C6" w:rsidRDefault="008C75C6" w:rsidP="008C75C6">
            <w:pPr>
              <w:snapToGrid w:val="0"/>
              <w:spacing w:line="400" w:lineRule="exact"/>
              <w:jc w:val="both"/>
              <w:rPr>
                <w:rFonts w:ascii="標楷體" w:eastAsia="標楷體" w:hAnsi="標楷體"/>
                <w:sz w:val="28"/>
                <w:szCs w:val="28"/>
              </w:rPr>
            </w:pPr>
            <w:r w:rsidRPr="008C75C6">
              <w:rPr>
                <w:rFonts w:ascii="標楷體" w:eastAsia="標楷體" w:hAnsi="標楷體" w:hint="eastAsia"/>
                <w:sz w:val="28"/>
                <w:szCs w:val="28"/>
              </w:rPr>
              <w:t>1.建議提供相關國內外大學評比機構之指標和類似大學發展等相關資訊，並列示各評比指標之本校表現現況和類似大學的資源現況比較，作為校務發展委員會檢討學校定位和特色之依據</w:t>
            </w:r>
            <w:r w:rsidRPr="008C75C6">
              <w:rPr>
                <w:rFonts w:ascii="Calibri" w:eastAsia="標楷體" w:hAnsi="Calibri" w:hint="eastAsia"/>
                <w:sz w:val="28"/>
                <w:szCs w:val="28"/>
              </w:rPr>
              <w:t>。</w:t>
            </w:r>
          </w:p>
          <w:p w:rsidR="008C75C6" w:rsidRPr="008C75C6" w:rsidRDefault="008C75C6" w:rsidP="008C75C6">
            <w:pPr>
              <w:snapToGrid w:val="0"/>
              <w:spacing w:line="400" w:lineRule="exact"/>
              <w:jc w:val="both"/>
              <w:rPr>
                <w:rFonts w:ascii="標楷體" w:eastAsia="標楷體" w:hAnsi="標楷體"/>
                <w:sz w:val="28"/>
                <w:szCs w:val="28"/>
              </w:rPr>
            </w:pPr>
            <w:r w:rsidRPr="008C75C6">
              <w:rPr>
                <w:rFonts w:ascii="標楷體" w:eastAsia="標楷體" w:hAnsi="標楷體" w:hint="eastAsia"/>
                <w:sz w:val="28"/>
                <w:szCs w:val="28"/>
              </w:rPr>
              <w:t>2.為方便搭配未來概算資源配置時，預計會考慮中長程計畫中各單位優先順序的作業。建議將校務發展委員會會議時間移至10月底或11月初(或可再與主計室協調適宜的時間)，並將決議內容轉知行政和教學單位召開相關會議，檢討如何落實校務發展委員會會議內容，以及反應可能達成的困難和調整建議。</w:t>
            </w:r>
          </w:p>
          <w:p w:rsidR="008C75C6" w:rsidRPr="008C75C6" w:rsidRDefault="008C75C6" w:rsidP="008C75C6">
            <w:pPr>
              <w:snapToGrid w:val="0"/>
              <w:spacing w:line="400" w:lineRule="exact"/>
              <w:jc w:val="both"/>
              <w:rPr>
                <w:rFonts w:ascii="標楷體" w:eastAsia="標楷體" w:hAnsi="標楷體"/>
                <w:sz w:val="28"/>
                <w:szCs w:val="28"/>
              </w:rPr>
            </w:pPr>
            <w:r w:rsidRPr="008E6F7A">
              <w:rPr>
                <w:rFonts w:ascii="標楷體" w:eastAsia="標楷體" w:hAnsi="標楷體" w:hint="eastAsia"/>
                <w:sz w:val="28"/>
                <w:szCs w:val="28"/>
              </w:rPr>
              <w:t>3.提供校務發展委員會開議資料，建議除了檢討本年度已決行事項檢討外，宜考慮</w:t>
            </w:r>
            <w:r w:rsidRPr="008C75C6">
              <w:rPr>
                <w:rFonts w:ascii="標楷體" w:eastAsia="標楷體" w:hAnsi="標楷體" w:hint="eastAsia"/>
                <w:sz w:val="28"/>
                <w:szCs w:val="28"/>
              </w:rPr>
              <w:t>增加已編定預算之下年度各類計畫的確認，以及再次</w:t>
            </w:r>
            <w:proofErr w:type="gramStart"/>
            <w:r w:rsidRPr="008C75C6">
              <w:rPr>
                <w:rFonts w:ascii="標楷體" w:eastAsia="標楷體" w:hAnsi="標楷體" w:hint="eastAsia"/>
                <w:sz w:val="28"/>
                <w:szCs w:val="28"/>
              </w:rPr>
              <w:t>一</w:t>
            </w:r>
            <w:proofErr w:type="gramEnd"/>
            <w:r w:rsidRPr="008C75C6">
              <w:rPr>
                <w:rFonts w:ascii="標楷體" w:eastAsia="標楷體" w:hAnsi="標楷體" w:hint="eastAsia"/>
                <w:sz w:val="28"/>
                <w:szCs w:val="28"/>
              </w:rPr>
              <w:t>年度發展方向的擬定，做為各單位概算編列之依據。</w:t>
            </w:r>
          </w:p>
          <w:p w:rsidR="003C795A" w:rsidRPr="008C75C6" w:rsidRDefault="008C75C6" w:rsidP="008C75C6">
            <w:pPr>
              <w:spacing w:line="500" w:lineRule="exact"/>
              <w:rPr>
                <w:rFonts w:ascii="標楷體" w:eastAsia="標楷體" w:hAnsi="標楷體"/>
                <w:sz w:val="28"/>
                <w:szCs w:val="28"/>
              </w:rPr>
            </w:pPr>
            <w:r w:rsidRPr="008C75C6">
              <w:rPr>
                <w:rFonts w:ascii="標楷體" w:eastAsia="標楷體" w:hAnsi="標楷體" w:hint="eastAsia"/>
                <w:sz w:val="28"/>
                <w:szCs w:val="28"/>
              </w:rPr>
              <w:t>4.為方便中長程計畫落實至各單位之績效管理(含考核)作業，可參考平衡計分卡之精神，建構相關系統。</w:t>
            </w:r>
            <w:r>
              <w:rPr>
                <w:rFonts w:ascii="標楷體" w:eastAsia="標楷體" w:hAnsi="標楷體" w:hint="eastAsia"/>
                <w:sz w:val="28"/>
                <w:szCs w:val="28"/>
              </w:rPr>
              <w:t>(</w:t>
            </w:r>
            <w:r w:rsidRPr="008E6F7A">
              <w:rPr>
                <w:rFonts w:ascii="Calibri" w:eastAsia="標楷體" w:hAnsi="Calibri" w:hint="eastAsia"/>
                <w:sz w:val="28"/>
                <w:szCs w:val="28"/>
              </w:rPr>
              <w:t>研發處：中長程發展計畫</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20</w:t>
            </w:r>
          </w:p>
        </w:tc>
        <w:tc>
          <w:tcPr>
            <w:tcW w:w="2692" w:type="dxa"/>
          </w:tcPr>
          <w:p w:rsidR="008C75C6" w:rsidRPr="008C75C6" w:rsidRDefault="008C75C6" w:rsidP="008C75C6">
            <w:pPr>
              <w:snapToGrid w:val="0"/>
              <w:spacing w:line="400" w:lineRule="exact"/>
              <w:jc w:val="both"/>
              <w:rPr>
                <w:rFonts w:ascii="標楷體" w:eastAsia="標楷體" w:hAnsi="標楷體"/>
                <w:sz w:val="28"/>
                <w:szCs w:val="28"/>
              </w:rPr>
            </w:pPr>
            <w:r w:rsidRPr="008C75C6">
              <w:rPr>
                <w:rFonts w:ascii="標楷體" w:eastAsia="標楷體" w:hAnsi="標楷體" w:hint="eastAsia"/>
                <w:sz w:val="28"/>
                <w:szCs w:val="28"/>
              </w:rPr>
              <w:t>1.為因應雲端系統日益</w:t>
            </w:r>
            <w:proofErr w:type="gramStart"/>
            <w:r w:rsidRPr="008C75C6">
              <w:rPr>
                <w:rFonts w:ascii="標楷體" w:eastAsia="標楷體" w:hAnsi="標楷體" w:hint="eastAsia"/>
                <w:sz w:val="28"/>
                <w:szCs w:val="28"/>
              </w:rPr>
              <w:t>普及，</w:t>
            </w:r>
            <w:proofErr w:type="gramEnd"/>
            <w:r w:rsidRPr="008C75C6">
              <w:rPr>
                <w:rFonts w:ascii="標楷體" w:eastAsia="標楷體" w:hAnsi="標楷體" w:hint="eastAsia"/>
                <w:sz w:val="28"/>
                <w:szCs w:val="28"/>
              </w:rPr>
              <w:t>建議在存取控制管理程序書、委外管理程序書和相關</w:t>
            </w:r>
            <w:r w:rsidRPr="008C75C6">
              <w:rPr>
                <w:rFonts w:ascii="Calibri" w:eastAsia="標楷體" w:hAnsi="Calibri" w:hint="eastAsia"/>
                <w:sz w:val="28"/>
                <w:szCs w:val="28"/>
              </w:rPr>
              <w:t>委外廠商管理表格中，</w:t>
            </w:r>
            <w:r w:rsidRPr="008C75C6">
              <w:rPr>
                <w:rFonts w:ascii="標楷體" w:eastAsia="標楷體" w:hAnsi="標楷體" w:hint="eastAsia"/>
                <w:sz w:val="28"/>
                <w:szCs w:val="28"/>
              </w:rPr>
              <w:t>考慮納入同一雲端系統下虛擬</w:t>
            </w:r>
            <w:proofErr w:type="gramStart"/>
            <w:r w:rsidRPr="008C75C6">
              <w:rPr>
                <w:rFonts w:ascii="標楷體" w:eastAsia="標楷體" w:hAnsi="標楷體" w:hint="eastAsia"/>
                <w:sz w:val="28"/>
                <w:szCs w:val="28"/>
              </w:rPr>
              <w:t>主機間的防火牆</w:t>
            </w:r>
            <w:proofErr w:type="gramEnd"/>
            <w:r w:rsidRPr="008C75C6">
              <w:rPr>
                <w:rFonts w:ascii="標楷體" w:eastAsia="標楷體" w:hAnsi="標楷體" w:hint="eastAsia"/>
                <w:sz w:val="28"/>
                <w:szCs w:val="28"/>
              </w:rPr>
              <w:t>機制</w:t>
            </w:r>
            <w:r w:rsidRPr="008C75C6">
              <w:rPr>
                <w:rFonts w:ascii="Calibri" w:eastAsia="標楷體" w:hAnsi="Calibri" w:hint="eastAsia"/>
                <w:sz w:val="28"/>
                <w:szCs w:val="28"/>
              </w:rPr>
              <w:t>。</w:t>
            </w:r>
          </w:p>
          <w:p w:rsidR="003C795A" w:rsidRPr="00C86F39" w:rsidRDefault="008C75C6" w:rsidP="008C75C6">
            <w:pPr>
              <w:spacing w:line="500" w:lineRule="exact"/>
              <w:rPr>
                <w:rFonts w:ascii="標楷體" w:eastAsia="標楷體" w:hAnsi="標楷體"/>
                <w:sz w:val="28"/>
                <w:szCs w:val="28"/>
              </w:rPr>
            </w:pPr>
            <w:r w:rsidRPr="008C75C6">
              <w:rPr>
                <w:rFonts w:ascii="標楷體" w:eastAsia="標楷體" w:hAnsi="標楷體" w:hint="eastAsia"/>
                <w:sz w:val="28"/>
                <w:szCs w:val="28"/>
              </w:rPr>
              <w:t>2.為保障委外計畫得以確實完成，避免委外過程中得標廠商因故倒閉等相關風險。</w:t>
            </w:r>
            <w:r w:rsidRPr="008E6F7A">
              <w:rPr>
                <w:rFonts w:ascii="標楷體" w:eastAsia="標楷體" w:hAnsi="標楷體" w:hint="eastAsia"/>
                <w:sz w:val="28"/>
                <w:szCs w:val="28"/>
              </w:rPr>
              <w:t>建議在委外招標文件中，增列專案保險機制條款。</w:t>
            </w:r>
            <w:r>
              <w:rPr>
                <w:rFonts w:ascii="標楷體" w:eastAsia="標楷體" w:hAnsi="標楷體" w:hint="eastAsia"/>
                <w:sz w:val="28"/>
                <w:szCs w:val="28"/>
              </w:rPr>
              <w:t>(</w:t>
            </w:r>
            <w:r w:rsidRPr="008E6F7A">
              <w:rPr>
                <w:rFonts w:ascii="Calibri" w:eastAsia="標楷體" w:hAnsi="Calibri" w:hint="eastAsia"/>
                <w:sz w:val="28"/>
                <w:szCs w:val="28"/>
              </w:rPr>
              <w:t>資訊中心：委外廠商管理</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21</w:t>
            </w:r>
          </w:p>
        </w:tc>
        <w:tc>
          <w:tcPr>
            <w:tcW w:w="2692" w:type="dxa"/>
          </w:tcPr>
          <w:p w:rsidR="008C75C6" w:rsidRPr="008C75C6" w:rsidRDefault="008C75C6" w:rsidP="008C75C6">
            <w:pPr>
              <w:snapToGrid w:val="0"/>
              <w:spacing w:line="400" w:lineRule="exact"/>
              <w:jc w:val="both"/>
              <w:rPr>
                <w:rFonts w:ascii="Calibri" w:eastAsia="標楷體" w:hAnsi="Calibri"/>
                <w:sz w:val="28"/>
                <w:szCs w:val="28"/>
              </w:rPr>
            </w:pPr>
            <w:r w:rsidRPr="008C75C6">
              <w:rPr>
                <w:rFonts w:ascii="Calibri" w:eastAsia="標楷體" w:hAnsi="Calibri"/>
                <w:sz w:val="28"/>
                <w:szCs w:val="28"/>
              </w:rPr>
              <w:t>1.</w:t>
            </w:r>
            <w:r w:rsidRPr="008C75C6">
              <w:rPr>
                <w:rFonts w:ascii="Calibri" w:eastAsia="標楷體" w:hAnsi="標楷體"/>
                <w:sz w:val="28"/>
                <w:szCs w:val="28"/>
              </w:rPr>
              <w:t>建議水上救生員證書要隨時注意有效期限，並要求相關人員更新其證照。</w:t>
            </w:r>
          </w:p>
          <w:p w:rsidR="008C75C6" w:rsidRPr="008C75C6" w:rsidRDefault="008C75C6" w:rsidP="008C75C6">
            <w:pPr>
              <w:snapToGrid w:val="0"/>
              <w:spacing w:line="400" w:lineRule="exact"/>
              <w:jc w:val="both"/>
              <w:rPr>
                <w:rFonts w:ascii="Calibri" w:eastAsia="標楷體" w:hAnsi="Calibri"/>
                <w:sz w:val="28"/>
                <w:szCs w:val="28"/>
              </w:rPr>
            </w:pPr>
            <w:r w:rsidRPr="008C75C6">
              <w:rPr>
                <w:rFonts w:ascii="Calibri" w:eastAsia="標楷體" w:hAnsi="Calibri"/>
                <w:sz w:val="28"/>
                <w:szCs w:val="28"/>
              </w:rPr>
              <w:t>2.</w:t>
            </w:r>
            <w:r w:rsidRPr="008C75C6">
              <w:rPr>
                <w:rFonts w:ascii="Calibri" w:eastAsia="標楷體" w:hAnsi="標楷體"/>
                <w:sz w:val="28"/>
                <w:szCs w:val="28"/>
              </w:rPr>
              <w:t>游泳館水域活動意外事故處理作業流程圖，應依實際作業方式修正之。</w:t>
            </w:r>
          </w:p>
          <w:p w:rsidR="008C75C6" w:rsidRPr="008C75C6" w:rsidRDefault="008C75C6" w:rsidP="008C75C6">
            <w:pPr>
              <w:snapToGrid w:val="0"/>
              <w:spacing w:line="400" w:lineRule="exact"/>
              <w:jc w:val="both"/>
              <w:rPr>
                <w:rFonts w:ascii="Calibri" w:eastAsia="標楷體" w:hAnsi="Calibri"/>
                <w:sz w:val="28"/>
                <w:szCs w:val="28"/>
              </w:rPr>
            </w:pPr>
            <w:r w:rsidRPr="008C75C6">
              <w:rPr>
                <w:rFonts w:ascii="Calibri" w:eastAsia="標楷體" w:hAnsi="Calibri"/>
                <w:sz w:val="28"/>
                <w:szCs w:val="28"/>
              </w:rPr>
              <w:t>3.</w:t>
            </w:r>
            <w:r w:rsidRPr="008C75C6">
              <w:rPr>
                <w:rFonts w:ascii="Calibri" w:eastAsia="標楷體" w:hAnsi="標楷體"/>
                <w:sz w:val="28"/>
                <w:szCs w:val="28"/>
              </w:rPr>
              <w:t>在危機管理方面，宜考慮：</w:t>
            </w:r>
          </w:p>
          <w:p w:rsidR="008C75C6" w:rsidRPr="008C75C6" w:rsidRDefault="008C75C6" w:rsidP="008C75C6">
            <w:pPr>
              <w:snapToGrid w:val="0"/>
              <w:spacing w:line="400" w:lineRule="exact"/>
              <w:jc w:val="both"/>
              <w:rPr>
                <w:rFonts w:ascii="Calibri" w:eastAsia="標楷體" w:hAnsi="Calibri"/>
                <w:sz w:val="28"/>
                <w:szCs w:val="28"/>
              </w:rPr>
            </w:pPr>
            <w:r w:rsidRPr="008C75C6">
              <w:rPr>
                <w:rFonts w:ascii="Calibri" w:eastAsia="標楷體" w:hAnsi="Calibri"/>
                <w:sz w:val="28"/>
                <w:szCs w:val="28"/>
              </w:rPr>
              <w:t>(1)</w:t>
            </w:r>
            <w:r w:rsidRPr="008C75C6">
              <w:rPr>
                <w:rFonts w:ascii="Calibri" w:eastAsia="標楷體" w:hAnsi="標楷體"/>
                <w:sz w:val="28"/>
                <w:szCs w:val="28"/>
              </w:rPr>
              <w:t>加強工讀生危機演練</w:t>
            </w:r>
          </w:p>
          <w:p w:rsidR="008C75C6" w:rsidRPr="008C75C6" w:rsidRDefault="008C75C6" w:rsidP="008C75C6">
            <w:pPr>
              <w:snapToGrid w:val="0"/>
              <w:spacing w:line="400" w:lineRule="exact"/>
              <w:jc w:val="both"/>
              <w:rPr>
                <w:rFonts w:ascii="Calibri" w:eastAsia="標楷體" w:hAnsi="Calibri"/>
                <w:sz w:val="28"/>
                <w:szCs w:val="28"/>
              </w:rPr>
            </w:pPr>
            <w:r w:rsidRPr="008C75C6">
              <w:rPr>
                <w:rFonts w:ascii="Calibri" w:eastAsia="標楷體" w:hAnsi="Calibri"/>
                <w:sz w:val="28"/>
                <w:szCs w:val="28"/>
              </w:rPr>
              <w:t>(2)</w:t>
            </w:r>
            <w:r w:rsidRPr="008C75C6">
              <w:rPr>
                <w:rFonts w:ascii="Calibri" w:eastAsia="標楷體" w:hAnsi="標楷體"/>
                <w:sz w:val="28"/>
                <w:szCs w:val="28"/>
              </w:rPr>
              <w:t>緊急連絡事項應張貼於多個明顯處所</w:t>
            </w:r>
            <w:r w:rsidRPr="008C75C6">
              <w:rPr>
                <w:rFonts w:ascii="Calibri" w:eastAsia="標楷體" w:hAnsi="Calibri"/>
                <w:sz w:val="28"/>
                <w:szCs w:val="28"/>
              </w:rPr>
              <w:t>(</w:t>
            </w:r>
            <w:r w:rsidRPr="008C75C6">
              <w:rPr>
                <w:rFonts w:ascii="Calibri" w:eastAsia="標楷體" w:hAnsi="標楷體"/>
                <w:sz w:val="28"/>
                <w:szCs w:val="28"/>
              </w:rPr>
              <w:t>含辦公室</w:t>
            </w:r>
            <w:r w:rsidRPr="008C75C6">
              <w:rPr>
                <w:rFonts w:ascii="Calibri" w:eastAsia="標楷體" w:hAnsi="Calibri"/>
                <w:sz w:val="28"/>
                <w:szCs w:val="28"/>
              </w:rPr>
              <w:t>)</w:t>
            </w:r>
          </w:p>
          <w:p w:rsidR="003C795A" w:rsidRPr="008C75C6" w:rsidRDefault="008C75C6" w:rsidP="008C75C6">
            <w:pPr>
              <w:spacing w:line="500" w:lineRule="exact"/>
              <w:rPr>
                <w:rFonts w:ascii="標楷體" w:eastAsia="標楷體" w:hAnsi="標楷體"/>
                <w:sz w:val="28"/>
                <w:szCs w:val="28"/>
              </w:rPr>
            </w:pPr>
            <w:r w:rsidRPr="008C75C6">
              <w:rPr>
                <w:rFonts w:ascii="Calibri" w:eastAsia="標楷體" w:hAnsi="Calibri"/>
                <w:sz w:val="28"/>
                <w:szCs w:val="28"/>
              </w:rPr>
              <w:t>(3)</w:t>
            </w:r>
            <w:r w:rsidRPr="008C75C6">
              <w:rPr>
                <w:rFonts w:ascii="Calibri" w:eastAsia="標楷體" w:hAnsi="標楷體"/>
                <w:sz w:val="28"/>
                <w:szCs w:val="28"/>
              </w:rPr>
              <w:t>緊急聯絡事項應加</w:t>
            </w:r>
            <w:proofErr w:type="gramStart"/>
            <w:r w:rsidRPr="008C75C6">
              <w:rPr>
                <w:rFonts w:ascii="Calibri" w:eastAsia="標楷體" w:hAnsi="標楷體"/>
                <w:sz w:val="28"/>
                <w:szCs w:val="28"/>
              </w:rPr>
              <w:t>註</w:t>
            </w:r>
            <w:proofErr w:type="gramEnd"/>
            <w:r w:rsidRPr="008C75C6">
              <w:rPr>
                <w:rFonts w:ascii="Calibri" w:eastAsia="標楷體" w:hAnsi="標楷體"/>
                <w:sz w:val="28"/>
                <w:szCs w:val="28"/>
              </w:rPr>
              <w:t>衛教組聯絡電話。</w:t>
            </w:r>
            <w:r w:rsidR="003F3874">
              <w:rPr>
                <w:rFonts w:ascii="Calibri" w:eastAsia="標楷體" w:hAnsi="標楷體" w:hint="eastAsia"/>
                <w:sz w:val="28"/>
                <w:szCs w:val="28"/>
              </w:rPr>
              <w:t>(</w:t>
            </w:r>
            <w:r w:rsidR="003F3874" w:rsidRPr="008E6F7A">
              <w:rPr>
                <w:rFonts w:ascii="Calibri" w:eastAsia="標楷體" w:hAnsi="Calibri" w:hint="eastAsia"/>
                <w:sz w:val="28"/>
                <w:szCs w:val="28"/>
              </w:rPr>
              <w:t>體育室：游泳館水域活動意外發生事故處理</w:t>
            </w:r>
            <w:r w:rsidR="003F3874">
              <w:rPr>
                <w:rFonts w:ascii="Calibri"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8C75C6" w:rsidP="003C795A">
            <w:pPr>
              <w:spacing w:line="500" w:lineRule="exact"/>
              <w:jc w:val="center"/>
              <w:rPr>
                <w:rFonts w:ascii="標楷體" w:eastAsia="標楷體" w:hAnsi="標楷體"/>
                <w:sz w:val="28"/>
                <w:szCs w:val="28"/>
              </w:rPr>
            </w:pPr>
            <w:r>
              <w:rPr>
                <w:rFonts w:ascii="標楷體" w:eastAsia="標楷體" w:hAnsi="標楷體" w:hint="eastAsia"/>
                <w:sz w:val="28"/>
                <w:szCs w:val="28"/>
              </w:rPr>
              <w:t>22</w:t>
            </w:r>
          </w:p>
        </w:tc>
        <w:tc>
          <w:tcPr>
            <w:tcW w:w="2692" w:type="dxa"/>
          </w:tcPr>
          <w:p w:rsidR="003F3874" w:rsidRPr="003F3874" w:rsidRDefault="003F3874" w:rsidP="003F3874">
            <w:pPr>
              <w:spacing w:line="500" w:lineRule="exact"/>
              <w:jc w:val="both"/>
              <w:rPr>
                <w:rFonts w:ascii="標楷體" w:eastAsia="標楷體" w:hAnsi="標楷體"/>
                <w:sz w:val="28"/>
                <w:szCs w:val="28"/>
              </w:rPr>
            </w:pPr>
            <w:r w:rsidRPr="003F3874">
              <w:rPr>
                <w:rFonts w:ascii="標楷體" w:eastAsia="標楷體" w:hAnsi="標楷體" w:hint="eastAsia"/>
                <w:sz w:val="28"/>
                <w:szCs w:val="28"/>
              </w:rPr>
              <w:t>(1)風險</w:t>
            </w:r>
            <w:proofErr w:type="gramStart"/>
            <w:r w:rsidRPr="003F3874">
              <w:rPr>
                <w:rFonts w:ascii="標楷體" w:eastAsia="標楷體" w:hAnsi="標楷體" w:hint="eastAsia"/>
                <w:sz w:val="28"/>
                <w:szCs w:val="28"/>
              </w:rPr>
              <w:t>系數請事先</w:t>
            </w:r>
            <w:proofErr w:type="gramEnd"/>
            <w:r w:rsidRPr="003F3874">
              <w:rPr>
                <w:rFonts w:ascii="標楷體" w:eastAsia="標楷體" w:hAnsi="標楷體" w:hint="eastAsia"/>
                <w:sz w:val="28"/>
                <w:szCs w:val="28"/>
              </w:rPr>
              <w:t>評估。</w:t>
            </w:r>
          </w:p>
          <w:p w:rsidR="003F3874" w:rsidRPr="003F3874" w:rsidRDefault="003F3874" w:rsidP="003F3874">
            <w:pPr>
              <w:spacing w:line="500" w:lineRule="exact"/>
              <w:rPr>
                <w:rFonts w:ascii="標楷體" w:eastAsia="標楷體" w:hAnsi="標楷體"/>
                <w:sz w:val="28"/>
                <w:szCs w:val="28"/>
              </w:rPr>
            </w:pPr>
            <w:r w:rsidRPr="003F3874">
              <w:rPr>
                <w:rFonts w:ascii="標楷體" w:eastAsia="標楷體" w:hAnsi="標楷體" w:hint="eastAsia"/>
                <w:sz w:val="28"/>
                <w:szCs w:val="28"/>
              </w:rPr>
              <w:t>(2)各項大型活動應事先規劃各項風險規程或疏散逃生等措施。</w:t>
            </w:r>
            <w:r>
              <w:rPr>
                <w:rFonts w:ascii="標楷體" w:eastAsia="標楷體" w:hAnsi="標楷體" w:hint="eastAsia"/>
                <w:sz w:val="28"/>
                <w:szCs w:val="28"/>
              </w:rPr>
              <w:t>(</w:t>
            </w:r>
            <w:r w:rsidRPr="003F3874">
              <w:rPr>
                <w:rFonts w:ascii="標楷體" w:eastAsia="標楷體" w:hAnsi="標楷體" w:hint="eastAsia"/>
                <w:sz w:val="28"/>
                <w:szCs w:val="28"/>
              </w:rPr>
              <w:t>總務處：</w:t>
            </w:r>
          </w:p>
          <w:p w:rsidR="003C795A" w:rsidRPr="00C86F39" w:rsidRDefault="003F3874" w:rsidP="003F3874">
            <w:pPr>
              <w:spacing w:line="500" w:lineRule="exact"/>
              <w:rPr>
                <w:rFonts w:ascii="標楷體" w:eastAsia="標楷體" w:hAnsi="標楷體"/>
                <w:sz w:val="28"/>
                <w:szCs w:val="28"/>
              </w:rPr>
            </w:pPr>
            <w:r w:rsidRPr="003F3874">
              <w:rPr>
                <w:rFonts w:ascii="標楷體" w:eastAsia="標楷體" w:hAnsi="標楷體" w:hint="eastAsia"/>
                <w:sz w:val="28"/>
                <w:szCs w:val="28"/>
              </w:rPr>
              <w:t>場地管理</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3F3874">
        <w:trPr>
          <w:trHeight w:val="4385"/>
        </w:trPr>
        <w:tc>
          <w:tcPr>
            <w:tcW w:w="817" w:type="dxa"/>
          </w:tcPr>
          <w:p w:rsidR="003C795A" w:rsidRPr="00C86F39" w:rsidRDefault="003F3874" w:rsidP="003C795A">
            <w:pPr>
              <w:spacing w:line="500" w:lineRule="exact"/>
              <w:jc w:val="center"/>
              <w:rPr>
                <w:rFonts w:ascii="標楷體" w:eastAsia="標楷體" w:hAnsi="標楷體"/>
                <w:sz w:val="28"/>
                <w:szCs w:val="28"/>
              </w:rPr>
            </w:pPr>
            <w:r>
              <w:rPr>
                <w:rFonts w:ascii="標楷體" w:eastAsia="標楷體" w:hAnsi="標楷體" w:hint="eastAsia"/>
                <w:sz w:val="28"/>
                <w:szCs w:val="28"/>
              </w:rPr>
              <w:t>23</w:t>
            </w:r>
          </w:p>
        </w:tc>
        <w:tc>
          <w:tcPr>
            <w:tcW w:w="2692" w:type="dxa"/>
          </w:tcPr>
          <w:p w:rsidR="003F3874" w:rsidRPr="003F3874" w:rsidRDefault="003F3874" w:rsidP="003F3874">
            <w:pPr>
              <w:spacing w:line="500" w:lineRule="exact"/>
              <w:jc w:val="both"/>
              <w:rPr>
                <w:rFonts w:ascii="標楷體" w:eastAsia="標楷體" w:hAnsi="標楷體"/>
                <w:sz w:val="28"/>
                <w:szCs w:val="28"/>
              </w:rPr>
            </w:pPr>
            <w:r w:rsidRPr="003F3874">
              <w:rPr>
                <w:rFonts w:ascii="標楷體" w:eastAsia="標楷體" w:hAnsi="標楷體" w:hint="eastAsia"/>
                <w:sz w:val="28"/>
                <w:szCs w:val="28"/>
              </w:rPr>
              <w:t>(1)贈與外賓之學校簡介與紀念品宜加強紀念品的選擇，並注重紀念品之品味與紀念性。</w:t>
            </w:r>
          </w:p>
          <w:p w:rsidR="003C795A" w:rsidRPr="00C86F39" w:rsidRDefault="003F3874" w:rsidP="003F3874">
            <w:pPr>
              <w:spacing w:line="500" w:lineRule="exact"/>
              <w:rPr>
                <w:rFonts w:ascii="標楷體" w:eastAsia="標楷體" w:hAnsi="標楷體"/>
                <w:sz w:val="28"/>
                <w:szCs w:val="28"/>
              </w:rPr>
            </w:pPr>
            <w:r w:rsidRPr="003F3874">
              <w:rPr>
                <w:rFonts w:ascii="標楷體" w:eastAsia="標楷體" w:hAnsi="標楷體" w:hint="eastAsia"/>
                <w:sz w:val="28"/>
                <w:szCs w:val="28"/>
              </w:rPr>
              <w:t>(2)應檢討外賓招待所之設備與整修，加強內部功能性與舒適性或與智慧空間</w:t>
            </w:r>
            <w:proofErr w:type="gramStart"/>
            <w:r w:rsidRPr="003F3874">
              <w:rPr>
                <w:rFonts w:ascii="標楷體" w:eastAsia="標楷體" w:hAnsi="標楷體" w:hint="eastAsia"/>
                <w:sz w:val="28"/>
                <w:szCs w:val="28"/>
              </w:rPr>
              <w:t>及綠能的</w:t>
            </w:r>
            <w:proofErr w:type="gramEnd"/>
            <w:r w:rsidRPr="003F3874">
              <w:rPr>
                <w:rFonts w:ascii="標楷體" w:eastAsia="標楷體" w:hAnsi="標楷體" w:hint="eastAsia"/>
                <w:sz w:val="28"/>
                <w:szCs w:val="28"/>
              </w:rPr>
              <w:t>概念相結合，以提昇本校治學的理念(實務應用)與外賓觀感。</w:t>
            </w:r>
            <w:r>
              <w:rPr>
                <w:rFonts w:ascii="標楷體" w:eastAsia="標楷體" w:hAnsi="標楷體" w:hint="eastAsia"/>
                <w:sz w:val="28"/>
                <w:szCs w:val="28"/>
              </w:rPr>
              <w:t>(</w:t>
            </w:r>
            <w:r w:rsidRPr="003F3874">
              <w:rPr>
                <w:rFonts w:ascii="標楷體" w:eastAsia="標楷體" w:hAnsi="標楷體" w:hint="eastAsia"/>
                <w:sz w:val="28"/>
                <w:szCs w:val="28"/>
              </w:rPr>
              <w:t>國際處：接待外國賓客</w:t>
            </w:r>
            <w:proofErr w:type="gramStart"/>
            <w:r w:rsidRPr="003F3874">
              <w:rPr>
                <w:rFonts w:ascii="標楷體" w:eastAsia="標楷體" w:hAnsi="標楷體" w:hint="eastAsia"/>
                <w:sz w:val="28"/>
                <w:szCs w:val="28"/>
              </w:rPr>
              <w:t>蒞校參訪</w:t>
            </w:r>
            <w:proofErr w:type="gramEnd"/>
            <w:r>
              <w:rPr>
                <w:rFonts w:ascii="標楷體" w:eastAsia="標楷體" w:hAnsi="標楷體" w:hint="eastAsia"/>
                <w:sz w:val="28"/>
                <w:szCs w:val="28"/>
              </w:rPr>
              <w:t>)</w:t>
            </w:r>
            <w:r w:rsidRPr="00C86F39">
              <w:rPr>
                <w:rFonts w:ascii="標楷體" w:eastAsia="標楷體" w:hAnsi="標楷體"/>
                <w:sz w:val="28"/>
                <w:szCs w:val="28"/>
              </w:rPr>
              <w:t xml:space="preserve"> </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3F3874" w:rsidP="003C795A">
            <w:pPr>
              <w:spacing w:line="500" w:lineRule="exact"/>
              <w:jc w:val="center"/>
              <w:rPr>
                <w:rFonts w:ascii="標楷體" w:eastAsia="標楷體" w:hAnsi="標楷體"/>
                <w:sz w:val="28"/>
                <w:szCs w:val="28"/>
              </w:rPr>
            </w:pPr>
            <w:r>
              <w:rPr>
                <w:rFonts w:ascii="標楷體" w:eastAsia="標楷體" w:hAnsi="標楷體" w:hint="eastAsia"/>
                <w:sz w:val="28"/>
                <w:szCs w:val="28"/>
              </w:rPr>
              <w:t>24</w:t>
            </w:r>
          </w:p>
        </w:tc>
        <w:tc>
          <w:tcPr>
            <w:tcW w:w="2692" w:type="dxa"/>
          </w:tcPr>
          <w:p w:rsidR="003F3874" w:rsidRPr="003F3874" w:rsidRDefault="003F3874" w:rsidP="003F3874">
            <w:pPr>
              <w:spacing w:line="500" w:lineRule="exact"/>
              <w:rPr>
                <w:rFonts w:ascii="標楷體" w:eastAsia="標楷體" w:hAnsi="標楷體"/>
                <w:sz w:val="28"/>
                <w:szCs w:val="28"/>
              </w:rPr>
            </w:pPr>
            <w:r w:rsidRPr="003F3874">
              <w:rPr>
                <w:rFonts w:ascii="標楷體" w:eastAsia="標楷體" w:hAnsi="標楷體" w:hint="eastAsia"/>
                <w:sz w:val="28"/>
                <w:szCs w:val="28"/>
              </w:rPr>
              <w:t>(1)可思考是否將初至台灣的外籍學生之健康檢查項目納入管控機制。</w:t>
            </w:r>
          </w:p>
          <w:p w:rsidR="003F3874" w:rsidRPr="003F3874" w:rsidRDefault="003F3874" w:rsidP="003F3874">
            <w:pPr>
              <w:spacing w:line="500" w:lineRule="exact"/>
              <w:rPr>
                <w:rFonts w:ascii="標楷體" w:eastAsia="標楷體" w:hAnsi="標楷體"/>
                <w:sz w:val="28"/>
                <w:szCs w:val="28"/>
              </w:rPr>
            </w:pPr>
            <w:r w:rsidRPr="003F3874">
              <w:rPr>
                <w:rFonts w:ascii="標楷體" w:eastAsia="標楷體" w:hAnsi="標楷體" w:hint="eastAsia"/>
                <w:sz w:val="28"/>
                <w:szCs w:val="28"/>
              </w:rPr>
              <w:t>(2)</w:t>
            </w:r>
            <w:proofErr w:type="gramStart"/>
            <w:r w:rsidRPr="003F3874">
              <w:rPr>
                <w:rFonts w:ascii="標楷體" w:eastAsia="標楷體" w:hAnsi="標楷體" w:hint="eastAsia"/>
                <w:sz w:val="28"/>
                <w:szCs w:val="28"/>
              </w:rPr>
              <w:t>學伴機制</w:t>
            </w:r>
            <w:proofErr w:type="gramEnd"/>
            <w:r w:rsidRPr="003F3874">
              <w:rPr>
                <w:rFonts w:ascii="標楷體" w:eastAsia="標楷體" w:hAnsi="標楷體" w:hint="eastAsia"/>
                <w:sz w:val="28"/>
                <w:szCs w:val="28"/>
              </w:rPr>
              <w:t>的建立，宜增加或要求更高服務品質</w:t>
            </w:r>
            <w:proofErr w:type="gramStart"/>
            <w:r w:rsidRPr="003F3874">
              <w:rPr>
                <w:rFonts w:ascii="標楷體" w:eastAsia="標楷體" w:hAnsi="標楷體" w:hint="eastAsia"/>
                <w:sz w:val="28"/>
                <w:szCs w:val="28"/>
              </w:rPr>
              <w:t>的學伴服務</w:t>
            </w:r>
            <w:proofErr w:type="gramEnd"/>
            <w:r w:rsidRPr="003F3874">
              <w:rPr>
                <w:rFonts w:ascii="標楷體" w:eastAsia="標楷體" w:hAnsi="標楷體" w:hint="eastAsia"/>
                <w:sz w:val="28"/>
                <w:szCs w:val="28"/>
              </w:rPr>
              <w:t>。</w:t>
            </w:r>
            <w:r w:rsidRPr="003F3874">
              <w:rPr>
                <w:rFonts w:ascii="標楷體" w:eastAsia="標楷體" w:hAnsi="標楷體"/>
                <w:sz w:val="28"/>
                <w:szCs w:val="28"/>
              </w:rPr>
              <w:t xml:space="preserve"> </w:t>
            </w:r>
            <w:r w:rsidRPr="003F3874">
              <w:rPr>
                <w:rFonts w:ascii="標楷體" w:eastAsia="標楷體" w:hAnsi="標楷體" w:hint="eastAsia"/>
                <w:sz w:val="28"/>
                <w:szCs w:val="28"/>
              </w:rPr>
              <w:t>(請相關單位具體</w:t>
            </w:r>
            <w:proofErr w:type="gramStart"/>
            <w:r w:rsidRPr="003F3874">
              <w:rPr>
                <w:rFonts w:ascii="標楷體" w:eastAsia="標楷體" w:hAnsi="標楷體" w:hint="eastAsia"/>
                <w:sz w:val="28"/>
                <w:szCs w:val="28"/>
              </w:rPr>
              <w:t>研</w:t>
            </w:r>
            <w:proofErr w:type="gramEnd"/>
            <w:r w:rsidRPr="003F3874">
              <w:rPr>
                <w:rFonts w:ascii="標楷體" w:eastAsia="標楷體" w:hAnsi="標楷體" w:hint="eastAsia"/>
                <w:sz w:val="28"/>
                <w:szCs w:val="28"/>
              </w:rPr>
              <w:t>擬)</w:t>
            </w:r>
            <w:r>
              <w:rPr>
                <w:rFonts w:ascii="標楷體" w:eastAsia="標楷體" w:hAnsi="標楷體" w:hint="eastAsia"/>
                <w:sz w:val="28"/>
                <w:szCs w:val="28"/>
              </w:rPr>
              <w:t>(</w:t>
            </w:r>
            <w:r w:rsidRPr="003F3874">
              <w:rPr>
                <w:rFonts w:ascii="標楷體" w:eastAsia="標楷體" w:hAnsi="標楷體" w:hint="eastAsia"/>
                <w:sz w:val="28"/>
                <w:szCs w:val="28"/>
              </w:rPr>
              <w:t>國際處：</w:t>
            </w:r>
          </w:p>
          <w:p w:rsidR="003C795A" w:rsidRPr="00C86F39" w:rsidRDefault="003F3874" w:rsidP="003F3874">
            <w:pPr>
              <w:spacing w:line="500" w:lineRule="exact"/>
              <w:rPr>
                <w:rFonts w:ascii="標楷體" w:eastAsia="標楷體" w:hAnsi="標楷體"/>
                <w:sz w:val="28"/>
                <w:szCs w:val="28"/>
              </w:rPr>
            </w:pPr>
            <w:r w:rsidRPr="003F3874">
              <w:rPr>
                <w:rFonts w:ascii="標楷體" w:eastAsia="標楷體" w:hAnsi="標楷體" w:hint="eastAsia"/>
                <w:sz w:val="28"/>
                <w:szCs w:val="28"/>
              </w:rPr>
              <w:t>國際學生生活輔導</w:t>
            </w:r>
            <w:r>
              <w:rPr>
                <w:rFonts w:ascii="標楷體" w:eastAsia="標楷體" w:hAnsi="標楷體" w:hint="eastAsia"/>
                <w:sz w:val="28"/>
                <w:szCs w:val="28"/>
              </w:rPr>
              <w:t>)</w:t>
            </w:r>
            <w:r w:rsidRPr="00C86F39">
              <w:rPr>
                <w:rFonts w:ascii="標楷體" w:eastAsia="標楷體" w:hAnsi="標楷體"/>
                <w:sz w:val="28"/>
                <w:szCs w:val="28"/>
              </w:rPr>
              <w:t xml:space="preserve"> </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3F3874" w:rsidP="003C795A">
            <w:pPr>
              <w:spacing w:line="500" w:lineRule="exact"/>
              <w:jc w:val="center"/>
              <w:rPr>
                <w:rFonts w:ascii="標楷體" w:eastAsia="標楷體" w:hAnsi="標楷體"/>
                <w:sz w:val="28"/>
                <w:szCs w:val="28"/>
              </w:rPr>
            </w:pPr>
            <w:r>
              <w:rPr>
                <w:rFonts w:ascii="標楷體" w:eastAsia="標楷體" w:hAnsi="標楷體" w:hint="eastAsia"/>
                <w:sz w:val="28"/>
                <w:szCs w:val="28"/>
              </w:rPr>
              <w:t>25</w:t>
            </w:r>
          </w:p>
        </w:tc>
        <w:tc>
          <w:tcPr>
            <w:tcW w:w="2692" w:type="dxa"/>
          </w:tcPr>
          <w:p w:rsidR="003C795A" w:rsidRPr="00C86F39" w:rsidRDefault="003F3874" w:rsidP="003F3874">
            <w:pPr>
              <w:spacing w:line="500" w:lineRule="exact"/>
              <w:rPr>
                <w:rFonts w:ascii="標楷體" w:eastAsia="標楷體" w:hAnsi="標楷體"/>
                <w:sz w:val="28"/>
                <w:szCs w:val="28"/>
              </w:rPr>
            </w:pPr>
            <w:r w:rsidRPr="008E6F7A">
              <w:rPr>
                <w:rFonts w:ascii="標楷體" w:eastAsia="標楷體" w:hAnsi="標楷體" w:hint="eastAsia"/>
                <w:sz w:val="28"/>
                <w:szCs w:val="28"/>
              </w:rPr>
              <w:t>外借藝術品展覽時，宜將外借的展示環境(包括該場地之溫濕度控制、照明器具之選擇、防盜與保護安全等)列入評估之機制。</w:t>
            </w:r>
            <w:r>
              <w:rPr>
                <w:rFonts w:ascii="標楷體" w:eastAsia="標楷體" w:hAnsi="標楷體" w:hint="eastAsia"/>
                <w:sz w:val="28"/>
                <w:szCs w:val="28"/>
              </w:rPr>
              <w:t>(</w:t>
            </w:r>
            <w:r w:rsidRPr="003F3874">
              <w:rPr>
                <w:rFonts w:ascii="標楷體" w:eastAsia="標楷體" w:hAnsi="標楷體" w:hint="eastAsia"/>
                <w:sz w:val="28"/>
                <w:szCs w:val="28"/>
              </w:rPr>
              <w:t>藝術中心：典藏品管理作業</w:t>
            </w:r>
            <w:r>
              <w:rPr>
                <w:rFonts w:ascii="標楷體" w:eastAsia="標楷體" w:hAnsi="標楷體" w:hint="eastAsia"/>
                <w:sz w:val="28"/>
                <w:szCs w:val="28"/>
              </w:rPr>
              <w:t>)</w:t>
            </w:r>
            <w:r w:rsidRPr="00C86F39">
              <w:rPr>
                <w:rFonts w:ascii="標楷體" w:eastAsia="標楷體" w:hAnsi="標楷體"/>
                <w:sz w:val="28"/>
                <w:szCs w:val="28"/>
              </w:rPr>
              <w:t xml:space="preserve"> </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3F3874" w:rsidRDefault="003F3874" w:rsidP="003C795A">
            <w:pPr>
              <w:spacing w:line="500" w:lineRule="exact"/>
              <w:jc w:val="center"/>
              <w:rPr>
                <w:rFonts w:ascii="標楷體" w:eastAsia="標楷體" w:hAnsi="標楷體"/>
                <w:sz w:val="28"/>
                <w:szCs w:val="28"/>
              </w:rPr>
            </w:pPr>
            <w:r>
              <w:rPr>
                <w:rFonts w:ascii="標楷體" w:eastAsia="標楷體" w:hAnsi="標楷體" w:hint="eastAsia"/>
                <w:sz w:val="28"/>
                <w:szCs w:val="28"/>
              </w:rPr>
              <w:t>26</w:t>
            </w:r>
          </w:p>
        </w:tc>
        <w:tc>
          <w:tcPr>
            <w:tcW w:w="2692" w:type="dxa"/>
          </w:tcPr>
          <w:p w:rsidR="003F3874" w:rsidRPr="003F3874" w:rsidRDefault="003F3874" w:rsidP="003F3874">
            <w:pPr>
              <w:spacing w:line="500" w:lineRule="exact"/>
              <w:jc w:val="center"/>
              <w:rPr>
                <w:rFonts w:ascii="標楷體" w:eastAsia="標楷體" w:hAnsi="標楷體"/>
                <w:sz w:val="28"/>
                <w:szCs w:val="28"/>
              </w:rPr>
            </w:pPr>
            <w:r w:rsidRPr="003F3874">
              <w:rPr>
                <w:rFonts w:ascii="標楷體" w:eastAsia="標楷體" w:hAnsi="標楷體" w:hint="eastAsia"/>
                <w:sz w:val="28"/>
                <w:szCs w:val="28"/>
              </w:rPr>
              <w:t>1.研究獎勵經費採購設備建議是否應與研究活動或研究專題具</w:t>
            </w:r>
            <w:proofErr w:type="gramStart"/>
            <w:r w:rsidRPr="003F3874">
              <w:rPr>
                <w:rFonts w:ascii="標楷體" w:eastAsia="標楷體" w:hAnsi="標楷體" w:hint="eastAsia"/>
                <w:sz w:val="28"/>
                <w:szCs w:val="28"/>
              </w:rPr>
              <w:t>攸</w:t>
            </w:r>
            <w:proofErr w:type="gramEnd"/>
            <w:r w:rsidRPr="003F3874">
              <w:rPr>
                <w:rFonts w:ascii="標楷體" w:eastAsia="標楷體" w:hAnsi="標楷體" w:hint="eastAsia"/>
                <w:sz w:val="28"/>
                <w:szCs w:val="28"/>
              </w:rPr>
              <w:t>關性?</w:t>
            </w:r>
          </w:p>
          <w:p w:rsidR="003C795A" w:rsidRPr="00C86F39" w:rsidRDefault="003F3874" w:rsidP="003F3874">
            <w:pPr>
              <w:spacing w:line="500" w:lineRule="exact"/>
              <w:rPr>
                <w:rFonts w:ascii="標楷體" w:eastAsia="標楷體" w:hAnsi="標楷體"/>
                <w:sz w:val="28"/>
                <w:szCs w:val="28"/>
              </w:rPr>
            </w:pPr>
            <w:r w:rsidRPr="003F3874">
              <w:rPr>
                <w:rFonts w:ascii="標楷體" w:eastAsia="標楷體" w:hAnsi="標楷體"/>
                <w:sz w:val="28"/>
                <w:szCs w:val="28"/>
              </w:rPr>
              <w:t>2.高額之維修費是否應列出其對應之財產編號,已使用年限,與資產價值</w:t>
            </w:r>
            <w:r w:rsidRPr="003F3874">
              <w:rPr>
                <w:rFonts w:ascii="標楷體" w:eastAsia="標楷體" w:hAnsi="標楷體" w:hint="eastAsia"/>
                <w:sz w:val="28"/>
                <w:szCs w:val="28"/>
              </w:rPr>
              <w:t>,或提供佐證資料(如:部分學校要求填寫維修評估表)</w:t>
            </w:r>
            <w:r>
              <w:rPr>
                <w:rFonts w:ascii="標楷體" w:eastAsia="標楷體" w:hAnsi="標楷體" w:hint="eastAsia"/>
                <w:sz w:val="28"/>
                <w:szCs w:val="28"/>
              </w:rPr>
              <w:t>(</w:t>
            </w:r>
            <w:r w:rsidRPr="008E6F7A">
              <w:rPr>
                <w:rFonts w:ascii="標楷體" w:eastAsia="標楷體" w:hAnsi="標楷體" w:hint="eastAsia"/>
                <w:sz w:val="28"/>
                <w:szCs w:val="28"/>
              </w:rPr>
              <w:t>主計室：經費請購審核作業</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851"/>
        </w:trPr>
        <w:tc>
          <w:tcPr>
            <w:tcW w:w="817" w:type="dxa"/>
          </w:tcPr>
          <w:p w:rsidR="003C795A" w:rsidRPr="00C86F39" w:rsidRDefault="003F3874" w:rsidP="003C795A">
            <w:pPr>
              <w:spacing w:line="500" w:lineRule="exact"/>
              <w:jc w:val="center"/>
              <w:rPr>
                <w:rFonts w:ascii="標楷體" w:eastAsia="標楷體" w:hAnsi="標楷體"/>
                <w:sz w:val="28"/>
                <w:szCs w:val="28"/>
              </w:rPr>
            </w:pPr>
            <w:r>
              <w:rPr>
                <w:rFonts w:ascii="標楷體" w:eastAsia="標楷體" w:hAnsi="標楷體" w:hint="eastAsia"/>
                <w:sz w:val="28"/>
                <w:szCs w:val="28"/>
              </w:rPr>
              <w:t>27</w:t>
            </w:r>
          </w:p>
        </w:tc>
        <w:tc>
          <w:tcPr>
            <w:tcW w:w="2692" w:type="dxa"/>
          </w:tcPr>
          <w:p w:rsidR="003C795A" w:rsidRPr="00C86F39" w:rsidRDefault="003F3874" w:rsidP="003C795A">
            <w:pPr>
              <w:spacing w:line="500" w:lineRule="exact"/>
              <w:rPr>
                <w:rFonts w:ascii="標楷體" w:eastAsia="標楷體" w:hAnsi="標楷體"/>
                <w:sz w:val="28"/>
                <w:szCs w:val="28"/>
              </w:rPr>
            </w:pPr>
            <w:r w:rsidRPr="008E6F7A">
              <w:rPr>
                <w:rFonts w:ascii="標楷體" w:eastAsia="標楷體" w:hAnsi="標楷體" w:hint="eastAsia"/>
                <w:sz w:val="28"/>
                <w:szCs w:val="28"/>
              </w:rPr>
              <w:t>1.部分具模糊空間不易判斷審核規劃之經費項目,</w:t>
            </w:r>
            <w:r w:rsidRPr="008E6F7A">
              <w:rPr>
                <w:rFonts w:ascii="標楷體" w:eastAsia="標楷體" w:hAnsi="標楷體"/>
                <w:sz w:val="28"/>
                <w:szCs w:val="28"/>
              </w:rPr>
              <w:t>建議應定期內部討論或詢問確認適用法規。如</w:t>
            </w:r>
            <w:r w:rsidRPr="008E6F7A">
              <w:rPr>
                <w:rFonts w:ascii="標楷體" w:eastAsia="標楷體" w:hAnsi="標楷體" w:hint="eastAsia"/>
                <w:sz w:val="28"/>
                <w:szCs w:val="28"/>
              </w:rPr>
              <w:t>駕駛短程載送同仁，可否報支差旅費問題，依銓敘部 86年 9 月 24 日 86 台法二字第 1524247 號函示，因處理公務須離開服務機關</w:t>
            </w:r>
            <w:proofErr w:type="gramStart"/>
            <w:r w:rsidRPr="008E6F7A">
              <w:rPr>
                <w:rFonts w:ascii="標楷體" w:eastAsia="標楷體" w:hAnsi="標楷體" w:hint="eastAsia"/>
                <w:sz w:val="28"/>
                <w:szCs w:val="28"/>
              </w:rPr>
              <w:t>惟</w:t>
            </w:r>
            <w:proofErr w:type="gramEnd"/>
            <w:r w:rsidRPr="008E6F7A">
              <w:rPr>
                <w:rFonts w:ascii="標楷體" w:eastAsia="標楷體" w:hAnsi="標楷體" w:hint="eastAsia"/>
                <w:sz w:val="28"/>
                <w:szCs w:val="28"/>
              </w:rPr>
              <w:t>時間不長且無連續性者，其差勤管理多用「公出」登記。以「公出」既非屬「出差」，自不得報支出差旅費。</w:t>
            </w:r>
            <w:r w:rsidRPr="008E6F7A">
              <w:rPr>
                <w:rFonts w:ascii="標楷體" w:eastAsia="標楷體" w:hAnsi="標楷體"/>
                <w:sz w:val="28"/>
                <w:szCs w:val="28"/>
              </w:rPr>
              <w:cr/>
              <w:t>2.核銷發票如未列明細品名,應落實要求申請者附註及簽名</w:t>
            </w:r>
            <w:r>
              <w:rPr>
                <w:rFonts w:ascii="標楷體" w:eastAsia="標楷體" w:hAnsi="標楷體" w:hint="eastAsia"/>
                <w:sz w:val="28"/>
                <w:szCs w:val="28"/>
              </w:rPr>
              <w:t>。(</w:t>
            </w:r>
            <w:r w:rsidRPr="008E6F7A">
              <w:rPr>
                <w:rFonts w:ascii="標楷體" w:eastAsia="標楷體" w:hAnsi="標楷體" w:hint="eastAsia"/>
                <w:sz w:val="28"/>
                <w:szCs w:val="28"/>
              </w:rPr>
              <w:t>主計室:經費核銷審核作業</w:t>
            </w:r>
            <w:r>
              <w:rPr>
                <w:rFonts w:ascii="標楷體" w:eastAsia="標楷體" w:hAnsi="標楷體" w:hint="eastAsia"/>
                <w:sz w:val="28"/>
                <w:szCs w:val="28"/>
              </w:rPr>
              <w:t>)</w:t>
            </w: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454"/>
        </w:trPr>
        <w:tc>
          <w:tcPr>
            <w:tcW w:w="9648" w:type="dxa"/>
            <w:gridSpan w:val="4"/>
          </w:tcPr>
          <w:p w:rsidR="003C795A" w:rsidRPr="00C86F39" w:rsidRDefault="003C795A" w:rsidP="003C795A">
            <w:pPr>
              <w:spacing w:line="380" w:lineRule="exact"/>
              <w:jc w:val="both"/>
              <w:rPr>
                <w:rFonts w:ascii="標楷體" w:eastAsia="標楷體" w:hAnsi="標楷體"/>
                <w:sz w:val="28"/>
                <w:szCs w:val="28"/>
              </w:rPr>
            </w:pPr>
            <w:r w:rsidRPr="00C86F39">
              <w:rPr>
                <w:rFonts w:ascii="標楷體" w:eastAsia="標楷體" w:hAnsi="標楷體" w:hint="eastAsia"/>
                <w:sz w:val="28"/>
                <w:szCs w:val="28"/>
              </w:rPr>
              <w:t>稽核評估職能單位所提建議</w:t>
            </w:r>
          </w:p>
        </w:tc>
      </w:tr>
      <w:tr w:rsidR="003C795A" w:rsidRPr="00C86F39" w:rsidTr="00A9414A">
        <w:trPr>
          <w:trHeight w:val="851"/>
        </w:trPr>
        <w:tc>
          <w:tcPr>
            <w:tcW w:w="817" w:type="dxa"/>
          </w:tcPr>
          <w:p w:rsidR="003C795A" w:rsidRPr="00C86F39" w:rsidRDefault="00B57029" w:rsidP="003C795A">
            <w:pPr>
              <w:spacing w:line="500" w:lineRule="exact"/>
              <w:jc w:val="center"/>
              <w:rPr>
                <w:rFonts w:ascii="標楷體" w:eastAsia="標楷體" w:hAnsi="標楷體"/>
                <w:sz w:val="28"/>
                <w:szCs w:val="28"/>
              </w:rPr>
            </w:pPr>
            <w:r>
              <w:rPr>
                <w:rFonts w:ascii="標楷體" w:eastAsia="標楷體" w:hAnsi="標楷體" w:hint="eastAsia"/>
                <w:sz w:val="28"/>
                <w:szCs w:val="28"/>
              </w:rPr>
              <w:t>無</w:t>
            </w:r>
          </w:p>
        </w:tc>
        <w:tc>
          <w:tcPr>
            <w:tcW w:w="2692" w:type="dxa"/>
          </w:tcPr>
          <w:p w:rsidR="003C795A" w:rsidRPr="00C86F39" w:rsidRDefault="003C795A" w:rsidP="003C795A">
            <w:pPr>
              <w:spacing w:line="500" w:lineRule="exact"/>
              <w:rPr>
                <w:rFonts w:ascii="標楷體" w:eastAsia="標楷體" w:hAnsi="標楷體"/>
                <w:sz w:val="28"/>
                <w:szCs w:val="28"/>
              </w:rPr>
            </w:pPr>
          </w:p>
        </w:tc>
        <w:tc>
          <w:tcPr>
            <w:tcW w:w="3319" w:type="dxa"/>
          </w:tcPr>
          <w:p w:rsidR="003C795A" w:rsidRPr="00C86F39" w:rsidRDefault="003C795A" w:rsidP="003C795A">
            <w:pPr>
              <w:spacing w:line="500" w:lineRule="exact"/>
              <w:jc w:val="both"/>
              <w:rPr>
                <w:rFonts w:ascii="標楷體" w:eastAsia="標楷體" w:hAnsi="標楷體"/>
                <w:sz w:val="28"/>
                <w:szCs w:val="28"/>
              </w:rPr>
            </w:pPr>
          </w:p>
        </w:tc>
        <w:tc>
          <w:tcPr>
            <w:tcW w:w="2820" w:type="dxa"/>
          </w:tcPr>
          <w:p w:rsidR="003C795A" w:rsidRPr="00C86F39" w:rsidRDefault="003C795A" w:rsidP="003C795A">
            <w:pPr>
              <w:spacing w:line="500" w:lineRule="exact"/>
              <w:jc w:val="both"/>
              <w:rPr>
                <w:rFonts w:ascii="標楷體" w:eastAsia="標楷體" w:hAnsi="標楷體"/>
                <w:sz w:val="28"/>
                <w:szCs w:val="28"/>
              </w:rPr>
            </w:pPr>
          </w:p>
        </w:tc>
      </w:tr>
      <w:tr w:rsidR="003C795A" w:rsidRPr="00C86F39" w:rsidTr="00A9414A">
        <w:trPr>
          <w:trHeight w:val="454"/>
        </w:trPr>
        <w:tc>
          <w:tcPr>
            <w:tcW w:w="9648" w:type="dxa"/>
            <w:gridSpan w:val="4"/>
          </w:tcPr>
          <w:p w:rsidR="003C795A" w:rsidRPr="00C86F39" w:rsidRDefault="003C795A" w:rsidP="003C795A">
            <w:pPr>
              <w:spacing w:line="500" w:lineRule="exact"/>
              <w:rPr>
                <w:rFonts w:ascii="標楷體" w:eastAsia="標楷體" w:hAnsi="標楷體"/>
                <w:sz w:val="28"/>
                <w:szCs w:val="28"/>
              </w:rPr>
            </w:pPr>
            <w:r w:rsidRPr="00C86F39">
              <w:rPr>
                <w:rFonts w:ascii="標楷體" w:eastAsia="標楷體" w:hAnsi="標楷體" w:hint="eastAsia"/>
                <w:sz w:val="28"/>
                <w:szCs w:val="28"/>
              </w:rPr>
              <w:t>二、上次追蹤尚未辦理完成之建議</w:t>
            </w:r>
          </w:p>
        </w:tc>
      </w:tr>
      <w:tr w:rsidR="003C795A" w:rsidRPr="00C86F39" w:rsidTr="00A9414A">
        <w:trPr>
          <w:trHeight w:val="851"/>
        </w:trPr>
        <w:tc>
          <w:tcPr>
            <w:tcW w:w="817" w:type="dxa"/>
          </w:tcPr>
          <w:p w:rsidR="003C795A" w:rsidRPr="00C86F39" w:rsidRDefault="003F3874" w:rsidP="003C795A">
            <w:pPr>
              <w:spacing w:line="500" w:lineRule="exact"/>
              <w:jc w:val="center"/>
              <w:rPr>
                <w:rFonts w:ascii="標楷體" w:eastAsia="標楷體" w:hAnsi="標楷體"/>
                <w:sz w:val="28"/>
                <w:szCs w:val="28"/>
              </w:rPr>
            </w:pPr>
            <w:r>
              <w:rPr>
                <w:rFonts w:ascii="標楷體" w:eastAsia="標楷體" w:hAnsi="標楷體" w:hint="eastAsia"/>
                <w:sz w:val="28"/>
                <w:szCs w:val="28"/>
              </w:rPr>
              <w:t>1</w:t>
            </w:r>
          </w:p>
        </w:tc>
        <w:tc>
          <w:tcPr>
            <w:tcW w:w="2692" w:type="dxa"/>
          </w:tcPr>
          <w:p w:rsidR="003C795A" w:rsidRPr="00C86F39" w:rsidRDefault="00B57029" w:rsidP="003C795A">
            <w:pPr>
              <w:spacing w:line="500" w:lineRule="exact"/>
              <w:rPr>
                <w:rFonts w:ascii="標楷體" w:eastAsia="標楷體" w:hAnsi="標楷體"/>
                <w:sz w:val="28"/>
                <w:szCs w:val="28"/>
              </w:rPr>
            </w:pPr>
            <w:r w:rsidRPr="005164F3">
              <w:rPr>
                <w:rFonts w:ascii="Arial Unicode MS" w:eastAsia="標楷體" w:hAnsi="Arial Unicode MS" w:cs="Arial Unicode MS" w:hint="eastAsia"/>
                <w:color w:val="000000"/>
                <w:sz w:val="28"/>
                <w:szCs w:val="28"/>
                <w:u w:color="000000"/>
                <w:bdr w:val="nil"/>
              </w:rPr>
              <w:t>教務處選課系統似乎還沒有雙語化，國際學生選課目前還是</w:t>
            </w:r>
            <w:proofErr w:type="gramStart"/>
            <w:r w:rsidRPr="005164F3">
              <w:rPr>
                <w:rFonts w:ascii="Arial Unicode MS" w:eastAsia="標楷體" w:hAnsi="Arial Unicode MS" w:cs="Arial Unicode MS" w:hint="eastAsia"/>
                <w:color w:val="000000"/>
                <w:sz w:val="28"/>
                <w:szCs w:val="28"/>
                <w:u w:color="000000"/>
                <w:bdr w:val="nil"/>
              </w:rPr>
              <w:t>依靠學伴或是</w:t>
            </w:r>
            <w:proofErr w:type="gramEnd"/>
            <w:r w:rsidRPr="005164F3">
              <w:rPr>
                <w:rFonts w:ascii="Arial Unicode MS" w:eastAsia="標楷體" w:hAnsi="Arial Unicode MS" w:cs="Arial Unicode MS" w:hint="eastAsia"/>
                <w:color w:val="000000"/>
                <w:sz w:val="28"/>
                <w:szCs w:val="28"/>
                <w:u w:color="000000"/>
                <w:bdr w:val="nil"/>
              </w:rPr>
              <w:t>輔導組的幫忙</w:t>
            </w:r>
            <w:r w:rsidRPr="005164F3">
              <w:rPr>
                <w:rFonts w:ascii="標楷體" w:eastAsia="Times New Roman" w:hAnsi="Arial Unicode MS" w:cs="Arial Unicode MS"/>
                <w:color w:val="000000"/>
                <w:sz w:val="28"/>
                <w:szCs w:val="28"/>
                <w:u w:color="000000"/>
                <w:bdr w:val="nil"/>
              </w:rPr>
              <w:t>.</w:t>
            </w:r>
            <w:r w:rsidRPr="005164F3">
              <w:rPr>
                <w:rFonts w:ascii="Arial Unicode MS" w:eastAsia="標楷體" w:hAnsi="Arial Unicode MS" w:cs="Arial Unicode MS" w:hint="eastAsia"/>
                <w:color w:val="000000"/>
                <w:sz w:val="28"/>
                <w:szCs w:val="28"/>
                <w:u w:color="000000"/>
                <w:bdr w:val="nil"/>
              </w:rPr>
              <w:t>學校行政支援似乎作業還是緩慢</w:t>
            </w:r>
            <w:r w:rsidRPr="005164F3">
              <w:rPr>
                <w:rFonts w:ascii="標楷體" w:eastAsia="Times New Roman" w:hAnsi="Arial Unicode MS" w:cs="Arial Unicode MS"/>
                <w:color w:val="000000"/>
                <w:sz w:val="28"/>
                <w:szCs w:val="28"/>
                <w:u w:color="000000"/>
                <w:bdr w:val="nil"/>
              </w:rPr>
              <w:t>.</w:t>
            </w:r>
            <w:r w:rsidRPr="005164F3">
              <w:rPr>
                <w:rFonts w:ascii="Arial Unicode MS" w:eastAsia="標楷體" w:hAnsi="Arial Unicode MS" w:cs="Arial Unicode MS" w:hint="eastAsia"/>
                <w:color w:val="000000"/>
                <w:sz w:val="28"/>
                <w:szCs w:val="28"/>
                <w:u w:color="000000"/>
                <w:bdr w:val="nil"/>
              </w:rPr>
              <w:t>應該盡速讓所有與學學生有關的行政系統網頁能有英語介紹。</w:t>
            </w:r>
          </w:p>
        </w:tc>
        <w:tc>
          <w:tcPr>
            <w:tcW w:w="3319" w:type="dxa"/>
          </w:tcPr>
          <w:p w:rsidR="003C795A" w:rsidRPr="00C86F39" w:rsidRDefault="003C795A" w:rsidP="003C795A">
            <w:pPr>
              <w:spacing w:line="500" w:lineRule="exact"/>
              <w:jc w:val="both"/>
              <w:rPr>
                <w:rFonts w:ascii="標楷體" w:eastAsia="標楷體" w:hAnsi="標楷體"/>
                <w:sz w:val="28"/>
                <w:szCs w:val="28"/>
              </w:rPr>
            </w:pPr>
            <w:bookmarkStart w:id="0" w:name="_GoBack"/>
            <w:bookmarkEnd w:id="0"/>
          </w:p>
        </w:tc>
        <w:tc>
          <w:tcPr>
            <w:tcW w:w="2820" w:type="dxa"/>
          </w:tcPr>
          <w:p w:rsidR="003C795A" w:rsidRPr="00C86F39" w:rsidRDefault="003C795A" w:rsidP="003C795A">
            <w:pPr>
              <w:spacing w:line="500" w:lineRule="exact"/>
              <w:jc w:val="both"/>
              <w:rPr>
                <w:rFonts w:ascii="標楷體" w:eastAsia="標楷體" w:hAnsi="標楷體"/>
                <w:sz w:val="28"/>
                <w:szCs w:val="28"/>
              </w:rPr>
            </w:pPr>
          </w:p>
        </w:tc>
      </w:tr>
    </w:tbl>
    <w:p w:rsidR="0057751F" w:rsidRDefault="0057751F" w:rsidP="0057751F">
      <w:pPr>
        <w:adjustRightInd w:val="0"/>
        <w:snapToGrid w:val="0"/>
        <w:spacing w:line="320" w:lineRule="exact"/>
        <w:jc w:val="both"/>
        <w:rPr>
          <w:rFonts w:ascii="標楷體" w:eastAsia="標楷體" w:hAnsi="標楷體"/>
        </w:rPr>
      </w:pPr>
      <w:proofErr w:type="gramStart"/>
      <w:r w:rsidRPr="00C86F39">
        <w:rPr>
          <w:rFonts w:ascii="標楷體" w:eastAsia="標楷體" w:hAnsi="標楷體" w:hint="eastAsia"/>
        </w:rPr>
        <w:t>註</w:t>
      </w:r>
      <w:proofErr w:type="gramEnd"/>
      <w:r w:rsidRPr="00C86F39">
        <w:rPr>
          <w:rFonts w:ascii="標楷體" w:eastAsia="標楷體" w:hAnsi="標楷體" w:hint="eastAsia"/>
        </w:rPr>
        <w:t>：</w:t>
      </w:r>
    </w:p>
    <w:p w:rsidR="0057751F" w:rsidRPr="00044F9C" w:rsidRDefault="0057751F" w:rsidP="0057751F">
      <w:pPr>
        <w:adjustRightInd w:val="0"/>
        <w:snapToGrid w:val="0"/>
        <w:spacing w:line="300" w:lineRule="exact"/>
        <w:ind w:leftChars="50" w:left="404" w:hanging="284"/>
        <w:jc w:val="both"/>
        <w:rPr>
          <w:rFonts w:ascii="標楷體" w:eastAsia="標楷體" w:hAnsi="標楷體"/>
        </w:rPr>
      </w:pPr>
      <w:r w:rsidRPr="00044F9C">
        <w:rPr>
          <w:rFonts w:ascii="標楷體" w:eastAsia="標楷體" w:hAnsi="標楷體" w:hint="eastAsia"/>
        </w:rPr>
        <w:t>1.機關於追蹤期間內若具備下列任</w:t>
      </w:r>
      <w:proofErr w:type="gramStart"/>
      <w:r w:rsidRPr="00044F9C">
        <w:rPr>
          <w:rFonts w:ascii="標楷體" w:eastAsia="標楷體" w:hAnsi="標楷體" w:hint="eastAsia"/>
        </w:rPr>
        <w:t>一</w:t>
      </w:r>
      <w:proofErr w:type="gramEnd"/>
      <w:r w:rsidRPr="00044F9C">
        <w:rPr>
          <w:rFonts w:ascii="標楷體" w:eastAsia="標楷體" w:hAnsi="標楷體" w:hint="eastAsia"/>
        </w:rPr>
        <w:t>情況者，</w:t>
      </w:r>
      <w:proofErr w:type="gramStart"/>
      <w:r w:rsidRPr="00044F9C">
        <w:rPr>
          <w:rFonts w:ascii="標楷體" w:eastAsia="標楷體" w:hAnsi="標楷體" w:hint="eastAsia"/>
        </w:rPr>
        <w:t>得免列示</w:t>
      </w:r>
      <w:proofErr w:type="gramEnd"/>
      <w:r w:rsidRPr="00044F9C">
        <w:rPr>
          <w:rFonts w:ascii="標楷體" w:eastAsia="標楷體" w:hAnsi="標楷體" w:hint="eastAsia"/>
        </w:rPr>
        <w:t>「本次新增之建議」項目：</w:t>
      </w:r>
    </w:p>
    <w:p w:rsidR="0057751F" w:rsidRPr="00044F9C" w:rsidRDefault="0057751F" w:rsidP="0057751F">
      <w:pPr>
        <w:adjustRightInd w:val="0"/>
        <w:snapToGrid w:val="0"/>
        <w:spacing w:line="240" w:lineRule="atLeast"/>
        <w:ind w:leftChars="150" w:left="720" w:hangingChars="150" w:hanging="360"/>
        <w:rPr>
          <w:rFonts w:ascii="標楷體" w:eastAsia="標楷體" w:hAnsi="標楷體"/>
        </w:rPr>
      </w:pPr>
      <w:r w:rsidRPr="00044F9C">
        <w:rPr>
          <w:rFonts w:ascii="標楷體" w:eastAsia="標楷體" w:hAnsi="標楷體" w:hint="eastAsia"/>
        </w:rPr>
        <w:t>(1)尚未辦理自行評估及內部稽核，且稽核評估職能單位尚未辦理稽核或評估者。</w:t>
      </w:r>
    </w:p>
    <w:p w:rsidR="0057751F" w:rsidRPr="00044F9C" w:rsidRDefault="0057751F" w:rsidP="0057751F">
      <w:pPr>
        <w:adjustRightInd w:val="0"/>
        <w:snapToGrid w:val="0"/>
        <w:spacing w:line="240" w:lineRule="atLeast"/>
        <w:ind w:leftChars="150" w:left="720" w:hangingChars="150" w:hanging="360"/>
        <w:rPr>
          <w:rFonts w:ascii="標楷體" w:eastAsia="標楷體" w:hAnsi="標楷體"/>
        </w:rPr>
      </w:pPr>
      <w:r w:rsidRPr="00044F9C">
        <w:rPr>
          <w:rFonts w:ascii="標楷體" w:eastAsia="標楷體" w:hAnsi="標楷體" w:hint="eastAsia"/>
        </w:rPr>
        <w:t>(2)前項監督作業執行結果，無新增之具體興革建議者。</w:t>
      </w:r>
    </w:p>
    <w:p w:rsidR="0057751F" w:rsidRPr="00D866C7" w:rsidRDefault="0057751F" w:rsidP="0057751F">
      <w:pPr>
        <w:adjustRightInd w:val="0"/>
        <w:snapToGrid w:val="0"/>
        <w:spacing w:line="300" w:lineRule="exact"/>
        <w:ind w:leftChars="50" w:left="404" w:hanging="284"/>
        <w:jc w:val="both"/>
        <w:rPr>
          <w:rFonts w:ascii="標楷體" w:eastAsia="標楷體" w:hAnsi="標楷體"/>
        </w:rPr>
      </w:pPr>
      <w:r w:rsidRPr="00044F9C">
        <w:rPr>
          <w:rFonts w:ascii="標楷體" w:eastAsia="標楷體" w:hAnsi="標楷體" w:hint="eastAsia"/>
        </w:rPr>
        <w:t>2.機關於自行評估結果或內部稽核報告所列具體興革建議，如與稽核評估職能單位等</w:t>
      </w:r>
      <w:r w:rsidRPr="00C86F39">
        <w:rPr>
          <w:rFonts w:ascii="標楷體" w:eastAsia="標楷體" w:hAnsi="標楷體" w:hint="eastAsia"/>
        </w:rPr>
        <w:t>所提建議重複時，得擇一填列並附註說明。</w:t>
      </w:r>
    </w:p>
    <w:p w:rsidR="00771562" w:rsidRPr="0057751F" w:rsidRDefault="00771562"/>
    <w:sectPr w:rsidR="00771562" w:rsidRPr="005775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59" w:rsidRDefault="00995B59" w:rsidP="00507DFB">
      <w:r>
        <w:separator/>
      </w:r>
    </w:p>
  </w:endnote>
  <w:endnote w:type="continuationSeparator" w:id="0">
    <w:p w:rsidR="00995B59" w:rsidRDefault="00995B59" w:rsidP="0050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59" w:rsidRDefault="00995B59" w:rsidP="00507DFB">
      <w:r>
        <w:separator/>
      </w:r>
    </w:p>
  </w:footnote>
  <w:footnote w:type="continuationSeparator" w:id="0">
    <w:p w:rsidR="00995B59" w:rsidRDefault="00995B59" w:rsidP="00507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31D"/>
    <w:multiLevelType w:val="hybridMultilevel"/>
    <w:tmpl w:val="47A04F9E"/>
    <w:lvl w:ilvl="0" w:tplc="2B8C2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8C623E"/>
    <w:multiLevelType w:val="hybridMultilevel"/>
    <w:tmpl w:val="EBBC483E"/>
    <w:lvl w:ilvl="0" w:tplc="7A768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1F"/>
    <w:rsid w:val="000F095F"/>
    <w:rsid w:val="00197DCA"/>
    <w:rsid w:val="00372AB2"/>
    <w:rsid w:val="003C795A"/>
    <w:rsid w:val="003F3874"/>
    <w:rsid w:val="00507DFB"/>
    <w:rsid w:val="0057751F"/>
    <w:rsid w:val="006467B8"/>
    <w:rsid w:val="00771562"/>
    <w:rsid w:val="008C75C6"/>
    <w:rsid w:val="00995B59"/>
    <w:rsid w:val="009D5EB8"/>
    <w:rsid w:val="00A30684"/>
    <w:rsid w:val="00B454C7"/>
    <w:rsid w:val="00B57029"/>
    <w:rsid w:val="00D018F2"/>
    <w:rsid w:val="00F35B6F"/>
    <w:rsid w:val="00F63167"/>
    <w:rsid w:val="00FE0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FB"/>
    <w:pPr>
      <w:tabs>
        <w:tab w:val="center" w:pos="4153"/>
        <w:tab w:val="right" w:pos="8306"/>
      </w:tabs>
      <w:snapToGrid w:val="0"/>
    </w:pPr>
    <w:rPr>
      <w:sz w:val="20"/>
      <w:szCs w:val="20"/>
    </w:rPr>
  </w:style>
  <w:style w:type="character" w:customStyle="1" w:styleId="a4">
    <w:name w:val="頁首 字元"/>
    <w:basedOn w:val="a0"/>
    <w:link w:val="a3"/>
    <w:uiPriority w:val="99"/>
    <w:rsid w:val="00507DFB"/>
    <w:rPr>
      <w:rFonts w:ascii="Times New Roman" w:eastAsia="新細明體" w:hAnsi="Times New Roman" w:cs="Times New Roman"/>
      <w:sz w:val="20"/>
      <w:szCs w:val="20"/>
    </w:rPr>
  </w:style>
  <w:style w:type="paragraph" w:styleId="a5">
    <w:name w:val="footer"/>
    <w:basedOn w:val="a"/>
    <w:link w:val="a6"/>
    <w:uiPriority w:val="99"/>
    <w:unhideWhenUsed/>
    <w:rsid w:val="00507DFB"/>
    <w:pPr>
      <w:tabs>
        <w:tab w:val="center" w:pos="4153"/>
        <w:tab w:val="right" w:pos="8306"/>
      </w:tabs>
      <w:snapToGrid w:val="0"/>
    </w:pPr>
    <w:rPr>
      <w:sz w:val="20"/>
      <w:szCs w:val="20"/>
    </w:rPr>
  </w:style>
  <w:style w:type="character" w:customStyle="1" w:styleId="a6">
    <w:name w:val="頁尾 字元"/>
    <w:basedOn w:val="a0"/>
    <w:link w:val="a5"/>
    <w:uiPriority w:val="99"/>
    <w:rsid w:val="00507DF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FB"/>
    <w:pPr>
      <w:tabs>
        <w:tab w:val="center" w:pos="4153"/>
        <w:tab w:val="right" w:pos="8306"/>
      </w:tabs>
      <w:snapToGrid w:val="0"/>
    </w:pPr>
    <w:rPr>
      <w:sz w:val="20"/>
      <w:szCs w:val="20"/>
    </w:rPr>
  </w:style>
  <w:style w:type="character" w:customStyle="1" w:styleId="a4">
    <w:name w:val="頁首 字元"/>
    <w:basedOn w:val="a0"/>
    <w:link w:val="a3"/>
    <w:uiPriority w:val="99"/>
    <w:rsid w:val="00507DFB"/>
    <w:rPr>
      <w:rFonts w:ascii="Times New Roman" w:eastAsia="新細明體" w:hAnsi="Times New Roman" w:cs="Times New Roman"/>
      <w:sz w:val="20"/>
      <w:szCs w:val="20"/>
    </w:rPr>
  </w:style>
  <w:style w:type="paragraph" w:styleId="a5">
    <w:name w:val="footer"/>
    <w:basedOn w:val="a"/>
    <w:link w:val="a6"/>
    <w:uiPriority w:val="99"/>
    <w:unhideWhenUsed/>
    <w:rsid w:val="00507DFB"/>
    <w:pPr>
      <w:tabs>
        <w:tab w:val="center" w:pos="4153"/>
        <w:tab w:val="right" w:pos="8306"/>
      </w:tabs>
      <w:snapToGrid w:val="0"/>
    </w:pPr>
    <w:rPr>
      <w:sz w:val="20"/>
      <w:szCs w:val="20"/>
    </w:rPr>
  </w:style>
  <w:style w:type="character" w:customStyle="1" w:styleId="a6">
    <w:name w:val="頁尾 字元"/>
    <w:basedOn w:val="a0"/>
    <w:link w:val="a5"/>
    <w:uiPriority w:val="99"/>
    <w:rsid w:val="00507DF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14</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2015-12-16T08:21:00Z</dcterms:created>
  <dcterms:modified xsi:type="dcterms:W3CDTF">2015-12-29T02:31:00Z</dcterms:modified>
</cp:coreProperties>
</file>